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</w:t>
      </w:r>
    </w:p>
    <w:p>
      <w:pPr>
        <w:pStyle w:val="Heading2"/>
      </w:pPr>
      <w:r>
        <w:rPr>
          <w:b/>
          <w:bCs/>
          <w:sz w:val="26"/>
          <w:szCs w:val="26"/>
        </w:rPr>
        <w:t xml:space="preserve">CONCEPTS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itfaa</w:t>
      </w:r>
    </w:p>
    <w:p>
      <w:pPr>
        <w:spacing w:after="120"/>
      </w:pPr>
      <w:r>
        <w:rPr>
          <w:sz w:val="22"/>
          <w:szCs w:val="22"/>
        </w:rPr>
        <w:t xml:space="preserve">{"ar":"إِطْفَاء","translit":"Iṭfâ'","fr":"Extinction","description":"Mode court de régulation pendant la crise de colère."}</w:t>
      </w:r>
    </w:p>
    <w:p>
      <w:pPr>
        <w:pBdr>
          <w:bottom w:val="single" w:color="CCCCCC" w:sz="1"/>
        </w:pBdr>
        <w:spacing w:after="200"/>
      </w:pPr>
    </w:p>
    <w:p>
      <w:pPr>
        <w:pStyle w:val="Heading3"/>
      </w:pPr>
      <w:r>
        <w:rPr>
          <w:b/>
          <w:bCs/>
          <w:sz w:val="22"/>
          <w:szCs w:val="22"/>
        </w:rPr>
        <w:t xml:space="preserve">itmiinan</w:t>
      </w:r>
    </w:p>
    <w:p>
      <w:pPr>
        <w:spacing w:after="120"/>
      </w:pPr>
      <w:r>
        <w:rPr>
          <w:sz w:val="22"/>
          <w:szCs w:val="22"/>
        </w:rPr>
        <w:t xml:space="preserve">{"ar":"الِاطْمِئْنَان","translit":"Iṭmi'nân","fr":"Apaisement","description":"Mode court de régulation pendant la crise d'anxiété. Référence : Coran 13:28."}</w:t>
      </w:r>
    </w:p>
    <w:p>
      <w:pPr>
        <w:pBdr>
          <w:bottom w:val="single" w:color="CCCCCC" w:sz="1"/>
        </w:pBdr>
        <w:spacing w:after="200"/>
      </w:pPr>
    </w:p>
    <w:p>
      <w:pPr>
        <w:pStyle w:val="Heading3"/>
      </w:pPr>
      <w:r>
        <w:rPr>
          <w:b/>
          <w:bCs/>
          <w:sz w:val="22"/>
          <w:szCs w:val="22"/>
        </w:rPr>
        <w:t xml:space="preserve">muhasaba</w:t>
      </w:r>
    </w:p>
    <w:p>
      <w:pPr>
        <w:spacing w:after="120"/>
      </w:pPr>
      <w:r>
        <w:rPr>
          <w:sz w:val="22"/>
          <w:szCs w:val="22"/>
        </w:rPr>
        <w:t xml:space="preserve">{"ar":"مُحَاسَبَة","translit":"Muḥâsaba","fr":"Examen de conscience","description":"Mode long d'examen à froid, en dehors de toute crise. Attribué à ʿUmar ibn al-Khaṭṭâb (qu'Allâh l'agrée) : « Faites vos comptes avant qu'on ne vous les demande. »"}</w:t>
      </w:r>
    </w:p>
    <w:p>
      <w:pPr>
        <w:pBdr>
          <w:bottom w:val="single" w:color="CCCCCC" w:sz="1"/>
        </w:pBdr>
        <w:spacing w:after="200"/>
      </w:pPr>
    </w:p>
    <w:p>
      <w:pPr>
        <w:pStyle w:val="Heading3"/>
      </w:pPr>
      <w:r>
        <w:rPr>
          <w:b/>
          <w:bCs/>
          <w:sz w:val="22"/>
          <w:szCs w:val="22"/>
        </w:rPr>
        <w:t xml:space="preserve">niyyah</w:t>
      </w:r>
    </w:p>
    <w:p>
      <w:pPr>
        <w:spacing w:after="120"/>
      </w:pPr>
      <w:r>
        <w:rPr>
          <w:sz w:val="22"/>
          <w:szCs w:val="22"/>
        </w:rPr>
        <w:t xml:space="preserve">{"ar":"النِّيَّة","translit":"Niyyah","fr":"Intention","description":"Concept fondateur. Hadith : Innamâ al-aʿmâlu bi-n-niyyât (Bukhârî 1, Muslim 1907)."}</w:t>
      </w:r>
    </w:p>
    <w:p>
      <w:pPr>
        <w:pBdr>
          <w:bottom w:val="single" w:color="CCCCCC" w:sz="1"/>
        </w:pBdr>
        <w:spacing w:after="200"/>
      </w:pPr>
    </w:p>
    <w:p>
      <w:pPr>
        <w:pStyle w:val="Heading3"/>
      </w:pPr>
      <w:r>
        <w:rPr>
          <w:b/>
          <w:bCs/>
          <w:sz w:val="22"/>
          <w:szCs w:val="22"/>
        </w:rPr>
        <w:t xml:space="preserve">tawakkul</w:t>
      </w:r>
    </w:p>
    <w:p>
      <w:pPr>
        <w:spacing w:after="120"/>
      </w:pPr>
      <w:r>
        <w:rPr>
          <w:sz w:val="22"/>
          <w:szCs w:val="22"/>
        </w:rPr>
        <w:t xml:space="preserve">{"ar":"التَّوَكُّل","translit":"Tawakkul","fr":"Remise confiante à Allah","description":"Confier à Allah ce qui te dépasse, après avoir fait ce qui est en toi. Référence : Coran 65:3."}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COLERE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nameAr</w:t>
      </w:r>
    </w:p>
    <w:p>
      <w:pPr>
        <w:spacing w:after="120"/>
      </w:pPr>
      <w:r>
        <w:rPr>
          <w:sz w:val="22"/>
          <w:szCs w:val="22"/>
        </w:rPr>
        <w:t xml:space="preserve">بَاب الْغَضَب</w:t>
      </w:r>
    </w:p>
    <w:p>
      <w:pPr>
        <w:pBdr>
          <w:bottom w:val="single" w:color="CCCCCC" w:sz="1"/>
        </w:pBdr>
        <w:spacing w:after="200"/>
      </w:pPr>
    </w:p>
    <w:p>
      <w:pPr>
        <w:pStyle w:val="Heading3"/>
      </w:pPr>
      <w:r>
        <w:rPr>
          <w:b/>
          <w:bCs/>
          <w:sz w:val="22"/>
          <w:szCs w:val="22"/>
        </w:rPr>
        <w:t xml:space="preserve">nameFr</w:t>
      </w:r>
    </w:p>
    <w:p>
      <w:pPr>
        <w:spacing w:after="120"/>
      </w:pPr>
      <w:r>
        <w:rPr>
          <w:sz w:val="22"/>
          <w:szCs w:val="22"/>
        </w:rPr>
        <w:t xml:space="preserve">Porte de la Colère</w:t>
      </w:r>
    </w:p>
    <w:p>
      <w:pPr>
        <w:pBdr>
          <w:bottom w:val="single" w:color="CCCCCC" w:sz="1"/>
        </w:pBdr>
        <w:spacing w:after="200"/>
      </w:pPr>
    </w:p>
    <w:p>
      <w:pPr>
        <w:pStyle w:val="Heading3"/>
      </w:pPr>
      <w:r>
        <w:rPr>
          <w:b/>
          <w:bCs/>
          <w:sz w:val="22"/>
          <w:szCs w:val="22"/>
        </w:rPr>
        <w:t xml:space="preserve">modeShort</w:t>
      </w:r>
    </w:p>
    <w:p>
      <w:pPr>
        <w:spacing w:after="120"/>
      </w:pPr>
      <w:r>
        <w:rPr>
          <w:sz w:val="22"/>
          <w:szCs w:val="22"/>
        </w:rPr>
        <w:t xml:space="preserve">itfaa</w:t>
      </w:r>
    </w:p>
    <w:p>
      <w:pPr>
        <w:pBdr>
          <w:bottom w:val="single" w:color="CCCCCC" w:sz="1"/>
        </w:pBdr>
        <w:spacing w:after="200"/>
      </w:pPr>
    </w:p>
    <w:p>
      <w:pPr>
        <w:pStyle w:val="Heading3"/>
      </w:pPr>
      <w:r>
        <w:rPr>
          <w:b/>
          <w:bCs/>
          <w:sz w:val="22"/>
          <w:szCs w:val="22"/>
        </w:rPr>
        <w:t xml:space="preserve">itfaa</w:t>
      </w:r>
    </w:p>
    <w:p>
      <w:pPr>
        <w:spacing w:after="120"/>
      </w:pPr>
      <w:r>
        <w:rPr>
          <w:sz w:val="22"/>
          <w:szCs w:val="22"/>
        </w:rPr>
        <w:t xml:space="preserve">{"etape1_corps_general":{"type":"hadith","ar":"لَيْسَ الشَّدِيدُ بِالصُّرَعَةِ، إِنَّمَا الشَّدِيدُ الَّذِي يَمْلِكُ نَفْسَهُ عِنْدَ الْغَضَبِ","translit":"Laysa sh-shadîdu bi-ṣ-ṣurʿa, innamâ sh-shadîdu lladhî yamliku nafsahu ʿinda al-ghaḍab","fr":"Le fort n'est pas celui qui terrasse les hommes. Le fort est celui qui se maîtrise dans la colère.","source":"Bukhârî 6114, Muslim 2609","narrator":"Abû Hurayra","grade":"sahih"},"etape2_assise":{"type":"hadith","ar":"إِذَا غَضِبَ أَحَدُكُمْ وَهُوَ قَ</w:t>
      </w:r>
    </w:p>
    <w:p>
      <w:pPr>
        <w:pBdr>
          <w:bottom w:val="single" w:color="CCCCCC" w:sz="1"/>
        </w:pBdr>
        <w:spacing w:after="200"/>
      </w:pPr>
    </w:p>
    <w:p>
      <w:pPr>
        <w:pStyle w:val="Heading3"/>
      </w:pPr>
      <w:r>
        <w:rPr>
          <w:b/>
          <w:bCs/>
          <w:sz w:val="22"/>
          <w:szCs w:val="22"/>
        </w:rPr>
        <w:t xml:space="preserve">muhasaba</w:t>
      </w:r>
    </w:p>
    <w:p>
      <w:pPr>
        <w:spacing w:after="120"/>
      </w:pPr>
      <w:r>
        <w:rPr>
          <w:sz w:val="22"/>
          <w:szCs w:val="22"/>
        </w:rPr>
        <w:t xml:space="preserve">{"etape6_pardon":{"type":"hadith","ar":"مَا نَقَصَتْ صَدَقَةٌ مِنْ مَالٍ، وَمَا زَادَ اللَّهُ عَبْدًا بِعَفْوٍ إِلَّا عِزًّا","translit":"Mâ naqaṣat ṣadaqatun min mâl, wa mâ zâda Llâhu ʿabdan bi-ʿafwin illâ ʿizzan","fr":"Une aumône ne diminue pas un bien, et Allah n'augmente nul serviteur en pardonnant sans qu'Il ne l'élève en honneur.","source":"Muslim 2588","narrator":"Abû Hurayra","grade":"sahih"},"etape6_duaa_parole_juste":{"type":"duaa","ar":"اللَّهُمَّ إِنِّي أَسْأَلُكَ كَلِمَةَ الْحَقِّ ف</w:t>
      </w:r>
    </w:p>
    <w:p>
      <w:pPr>
        <w:pBdr>
          <w:bottom w:val="single" w:color="CCCCCC" w:sz="1"/>
        </w:pBdr>
        <w:spacing w:after="200"/>
      </w:pPr>
    </w:p>
    <w:p>
      <w:pPr>
        <w:pStyle w:val="Heading3"/>
      </w:pPr>
      <w:r>
        <w:rPr>
          <w:b/>
          <w:bCs/>
          <w:sz w:val="22"/>
          <w:szCs w:val="22"/>
        </w:rPr>
        <w:t xml:space="preserve">jours</w:t>
      </w:r>
    </w:p>
    <w:p>
      <w:pPr>
        <w:spacing w:after="120"/>
      </w:pPr>
      <w:r>
        <w:rPr>
          <w:sz w:val="22"/>
          <w:szCs w:val="22"/>
        </w:rPr>
        <w:t xml:space="preserve">{"1":{"titre_fr":"Reconnaître le feu","hadithRef":"$itfaa.etape7_refuge","doucement":{"voixTemoin1":"Aujourd'hui, juste reconnais.","voixTemoin2":"Pas plus.","boutonAction":"J'ai reconnu"},"serieusement":{"hadithContemplation":"Bukhârî 6116 — Lâ taghḍab","exercice":"Observe tes colères. Note-les en 1 ligne.","clotureRef":"$muhasaba.etape6_duaa_parole_juste"},"transitionApres":"Hier tu as reconnu le feu."},"2":{"titre_fr":"Les déclencheurs","hadithRef":"$itfaa.etape1_corps_general","doucement":{"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ANXIETE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nameAr</w:t>
      </w:r>
    </w:p>
    <w:p>
      <w:pPr>
        <w:spacing w:after="120"/>
      </w:pPr>
      <w:r>
        <w:rPr>
          <w:sz w:val="22"/>
          <w:szCs w:val="22"/>
        </w:rPr>
        <w:t xml:space="preserve">بَاب الْقَلَق</w:t>
      </w:r>
    </w:p>
    <w:p>
      <w:pPr>
        <w:pBdr>
          <w:bottom w:val="single" w:color="CCCCCC" w:sz="1"/>
        </w:pBdr>
        <w:spacing w:after="200"/>
      </w:pPr>
    </w:p>
    <w:p>
      <w:pPr>
        <w:pStyle w:val="Heading3"/>
      </w:pPr>
      <w:r>
        <w:rPr>
          <w:b/>
          <w:bCs/>
          <w:sz w:val="22"/>
          <w:szCs w:val="22"/>
        </w:rPr>
        <w:t xml:space="preserve">nameFr</w:t>
      </w:r>
    </w:p>
    <w:p>
      <w:pPr>
        <w:spacing w:after="120"/>
      </w:pPr>
      <w:r>
        <w:rPr>
          <w:sz w:val="22"/>
          <w:szCs w:val="22"/>
        </w:rPr>
        <w:t xml:space="preserve">Porte de l'Anxiété</w:t>
      </w:r>
    </w:p>
    <w:p>
      <w:pPr>
        <w:pBdr>
          <w:bottom w:val="single" w:color="CCCCCC" w:sz="1"/>
        </w:pBdr>
        <w:spacing w:after="200"/>
      </w:pPr>
    </w:p>
    <w:p>
      <w:pPr>
        <w:pStyle w:val="Heading3"/>
      </w:pPr>
      <w:r>
        <w:rPr>
          <w:b/>
          <w:bCs/>
          <w:sz w:val="22"/>
          <w:szCs w:val="22"/>
        </w:rPr>
        <w:t xml:space="preserve">modeShort</w:t>
      </w:r>
    </w:p>
    <w:p>
      <w:pPr>
        <w:spacing w:after="120"/>
      </w:pPr>
      <w:r>
        <w:rPr>
          <w:sz w:val="22"/>
          <w:szCs w:val="22"/>
        </w:rPr>
        <w:t xml:space="preserve">itmiinan</w:t>
      </w:r>
    </w:p>
    <w:p>
      <w:pPr>
        <w:pBdr>
          <w:bottom w:val="single" w:color="CCCCCC" w:sz="1"/>
        </w:pBdr>
        <w:spacing w:after="200"/>
      </w:pPr>
    </w:p>
    <w:p>
      <w:pPr>
        <w:pStyle w:val="Heading3"/>
      </w:pPr>
      <w:r>
        <w:rPr>
          <w:b/>
          <w:bCs/>
          <w:sz w:val="22"/>
          <w:szCs w:val="22"/>
        </w:rPr>
        <w:t xml:space="preserve">vocabulary</w:t>
      </w:r>
    </w:p>
    <w:p>
      <w:pPr>
        <w:spacing w:after="120"/>
      </w:pPr>
      <w:r>
        <w:rPr>
          <w:sz w:val="22"/>
          <w:szCs w:val="22"/>
        </w:rPr>
        <w:t xml:space="preserve">{"qalaq":{"ar":"الْقَلَق","fr":"Agitation"},"hamm":{"ar":"الْهَمّ","fr":"Souci pesant sur le présent"},"hazan":{"ar":"الْحَزَن","fr":"Chagrin angoissant lié au passé"},"jazaa":{"ar":"الْجَزَع","fr":"Panique paralysante"},"yaas":{"ar":"الْيَأْس","fr":"Désespoir (manquement spirituel)"},"khawf":{"ar":"الْخَوْف","fr":"Peur saine"},"wasawis":{"ar":"وَسَاوِس","fr":"Chuchotements répétitifs (réf. sourate An-Nâs)"}}</w:t>
      </w:r>
    </w:p>
    <w:p>
      <w:pPr>
        <w:pBdr>
          <w:bottom w:val="single" w:color="CCCCCC" w:sz="1"/>
        </w:pBdr>
        <w:spacing w:after="200"/>
      </w:pPr>
    </w:p>
    <w:p>
      <w:pPr>
        <w:pStyle w:val="Heading3"/>
      </w:pPr>
      <w:r>
        <w:rPr>
          <w:b/>
          <w:bCs/>
          <w:sz w:val="22"/>
          <w:szCs w:val="22"/>
        </w:rPr>
        <w:t xml:space="preserve">itmiinan</w:t>
      </w:r>
    </w:p>
    <w:p>
      <w:pPr>
        <w:spacing w:after="120"/>
      </w:pPr>
      <w:r>
        <w:rPr>
          <w:sz w:val="22"/>
          <w:szCs w:val="22"/>
        </w:rPr>
        <w:t xml:space="preserve">{"etape1_verset_apaisement":{"type":"verse","ar":"أَلَا بِذِكْرِ اللَّهِ تَطْمَئِنُّ الْقُلُوبُ","translit":"Alâ bi-dhikri Llâhi taṭma'innu al-qulûb","fr":"N'est-ce pas par le rappel d'Allah que les cœurs s'apaisent ?","source":"Coran, Ar-Raʿd 13:28"},"etape2_hasbunallah":{"type":"verse","ar":"حَسْبُنَا اللَّهُ وَنِعْمَ الْوَكِيلُ","translit":"Ḥasbunâ-llâhu wa niʿma al-wakîl","fr":"Allah nous suffit, et quel excellent Garant.","source":"Coran 3:173","context":"Parole d'Ibrâhîm ﷺ jeté au feu, rep</w:t>
      </w:r>
    </w:p>
    <w:p>
      <w:pPr>
        <w:pBdr>
          <w:bottom w:val="single" w:color="CCCCCC" w:sz="1"/>
        </w:pBdr>
        <w:spacing w:after="200"/>
      </w:pPr>
    </w:p>
    <w:p>
      <w:pPr>
        <w:pStyle w:val="Heading3"/>
      </w:pPr>
      <w:r>
        <w:rPr>
          <w:b/>
          <w:bCs/>
          <w:sz w:val="22"/>
          <w:szCs w:val="22"/>
        </w:rPr>
        <w:t xml:space="preserve">muhasaba</w:t>
      </w:r>
    </w:p>
    <w:p>
      <w:pPr>
        <w:spacing w:after="120"/>
      </w:pPr>
      <w:r>
        <w:rPr>
          <w:sz w:val="22"/>
          <w:szCs w:val="22"/>
        </w:rPr>
        <w:t xml:space="preserve">{"etape6_tawakkul":{"type":"verse","ar":"وَمَنْ يَتَوَكَّلْ عَلَى اللَّهِ فَهُوَ حَسْبُهُ","translit":"Wa man yatawakkal ʿalâ Llâhi fa-huwa ḥasbuh","fr":"Quiconque place sa confiance en Allah, Il lui suffit.","source":"Coran, Aṭ-Ṭalâq 65:3"},"etape6_attache_chamelle":{"type":"hadith","ar":"اعْقِلْهَا وَتَوَكَّلْ","translit":"Iʿqilhâ wa tawakkal","fr":"Attache-la (la chamelle), puis place ta confiance en Allah.","source":"Tirmidhî 2517","narrator":"Anas ibn Mâlik","grade":"hasan (déclaré bon par </w:t>
      </w:r>
    </w:p>
    <w:p>
      <w:pPr>
        <w:pBdr>
          <w:bottom w:val="single" w:color="CCCCCC" w:sz="1"/>
        </w:pBd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2026-05-27T17:46:55.716Z</dcterms:created>
  <dcterms:modified xsi:type="dcterms:W3CDTF">2026-05-27T17:46:55.716Z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