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Sira - 350 rdv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RDV 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49.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59.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III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— La lutte commence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— La lutte commence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— La lutte commence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— La lutte commence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— La lutte commence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69.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Le matin du dix-sept Ramaḍān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Badr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après Badr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79.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après Badr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après Badr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après Badr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Médine après Badr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maison du Prophète ﷺ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maison du Prophète ﷺ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89.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99.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109.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Uḥud — Après la bataille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La riposte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La riposte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119.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Uḥud — Les trahisons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an-Naḍīr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L'année qui sépare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L'année qui sépare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129.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L'année qui sépare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139.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 Khandaq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Banū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Qurayẓa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149.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 — Conséquences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Ḥudaybiya — Conséquences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159.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Lettres aux rois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Lettres aux rois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Lettres aux rois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Lettres aux rois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169.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Khaybar — Suites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ʿUmra de compensation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ʿUmra de compensation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ʿUmra de compensation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Mu'ta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Mu'ta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Mu'ta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Mu'ta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Mu'ta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179.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la Conquête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Vers la Conquête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189.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Conquête de Mecque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Ḥunayn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Ḥunayn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Ḥunayn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Ḥunayn — Suites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Ḥunayn — Suites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L'année des délégations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Tabūk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Tabūk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199.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Tabūk — Suites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L'Arabie musulmane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Ḥajj de l'adieu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209.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La dernière maladie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L'agonie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L'agonie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219.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L'annonce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L'annonce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la mort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la mort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la mort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la mort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Après la mort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L'héritage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L'héritage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L'héritage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229.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L'héritage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L'héritage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239.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physique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249.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Portrait moral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259.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Vie domestique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269.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279.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289.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299.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309.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Anecdotes datées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319.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326.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327.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328.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329.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330.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331.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332.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333.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334.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335.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Partie: XI</w:t>
      </w:r>
    </w:p>
    <w:p>
      <w:pPr>
        <w:spacing w:after="120"/>
      </w:pPr>
      <w:r>
        <w:rPr>
          <w:sz w:val="22"/>
          <w:szCs w:val="22"/>
        </w:rPr>
        <w:t xml:space="preserve">[object Object]
[object Object]
[object Object]
[object Object]
[object Object]
[object Object]
[object Object]
[object Object]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Med: [object Object]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336.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337.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338.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339.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340.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341.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342.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343.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344.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345.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346.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347.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348.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349.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RDV 350. [object Object]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[object Object]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2026-05-27T17:46:55.571Z</dcterms:created>
  <dcterms:modified xsi:type="dcterms:W3CDTF">2026-05-27T17:46:55.571Z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