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Adab al-Mufrad 716 (sahîh, al-Albânî) ; Ahmad</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par Ahmad (Az-Zuhd) et Abû Nu'aym (Hilyat al-awliyâ')</w:t>
      </w:r>
    </w:p>
    <w:p>
      <w:pPr>
        <w:spacing w:after="120"/>
      </w:pPr>
      <w:r>
        <w:rPr>
          <w:sz w:val="22"/>
          <w:szCs w:val="22"/>
        </w:rPr>
        <w:t xml:space="preserve">Le grand prédicateur de Basra ramène l'homme à sa vérité de passage. Tu n'es pas un monument, tu es un passage.</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Réflexion contemplative sur la finitude (death reflection, Cozzolino) : vécue avec sens et non comme menace, elle réduit la quête de statut et réaligne sur les valeurs intrinsèques — à l'inverse de la simple peur de la mort (TMT), qui la renforce.</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d'adab largement transmis (épisode du plafonnement de la dot) — chaînes faibles, cité pour l'édification</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2026-06-10T00:33:37.754Z</dcterms:created>
  <dcterms:modified xsi:type="dcterms:W3CDTF">2026-06-10T00:33:37.754Z</dcterms:modified>
</cp:coreProperties>
</file>

<file path=docProps/custom.xml><?xml version="1.0" encoding="utf-8"?>
<Properties xmlns="http://schemas.openxmlformats.org/officeDocument/2006/custom-properties" xmlns:vt="http://schemas.openxmlformats.org/officeDocument/2006/docPropsVTypes"/>
</file>