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Coffret Médisance</w:t>
      </w:r>
    </w:p>
    <w:p>
      <w:pPr>
        <w:spacing w:after="120"/>
      </w:pPr>
      <w:r>
        <w:rPr>
          <w:sz w:val="22"/>
          <w:szCs w:val="22"/>
        </w:rPr>
        <w:t xml:space="preserve">Les coffres de la langue</w:t>
      </w:r>
    </w:p>
    <w:p>
      <w:pPr>
        <w:spacing w:after="120"/>
      </w:pPr>
      <w:r>
        <w:rPr>
          <w:i/>
          <w:iCs/>
          <w:sz w:val="22"/>
          <w:szCs w:val="22"/>
        </w:rPr>
        <w:t xml:space="preserve">Ce coffret rassemble les références fondamentales de l'islam sur la médisance (ghîba), le colportage (namîma), la garde de la langue (hifz al-lisân) et la bonne parole. Il complète la cure 7 jours.
Tu peux le consulter à tout moment. Pas pour le mémoriser d'un coup. Pour qu'il soit là quand tu en auras besoin.</w:t>
      </w:r>
    </w:p>
    <w:p>
      <w:pPr>
        <w:pStyle w:val="Heading2"/>
        <w:spacing w:before="300"/>
      </w:pPr>
      <w:r>
        <w:rPr>
          <w:b/>
          <w:bCs/>
          <w:sz w:val="26"/>
          <w:szCs w:val="26"/>
        </w:rPr>
        <w:t xml:space="preserve">Versets du Coran</w:t>
      </w:r>
    </w:p>
    <w:p>
      <w:pPr>
        <w:spacing w:after="120"/>
      </w:pPr>
      <w:r>
        <w:rPr>
          <w:i/>
          <w:iCs/>
          <w:sz w:val="22"/>
          <w:szCs w:val="22"/>
        </w:rPr>
        <w:t xml:space="preserve">Les versets sur la langue, la médisance, le colportage et la bonne parole.</w:t>
      </w:r>
    </w:p>
    <w:p>
      <w:pPr>
        <w:pStyle w:val="Heading3"/>
        <w:spacing w:before="200"/>
      </w:pPr>
      <w:r>
        <w:rPr>
          <w:b/>
          <w:bCs/>
          <w:sz w:val="22"/>
          <w:szCs w:val="22"/>
        </w:rPr>
        <w:t xml:space="preserve">1. Ne médisez pas les uns des autres. L'un de vous aimerait-il manger la chair de son frère mort ? Vous en éprouveriez du dégoût.</w:t>
      </w:r>
    </w:p>
    <w:p>
      <w:pPr>
        <w:spacing w:after="120"/>
      </w:pPr>
      <w:r>
        <w:rPr>
          <w:sz w:val="22"/>
          <w:szCs w:val="22"/>
        </w:rPr>
        <w:t xml:space="preserve">Ne médisez pas les uns des autres. L'un de vous aimerait-il manger la chair de son frère mort ? Vous en éprouveriez du dégoût.</w:t>
      </w:r>
    </w:p>
    <w:p>
      <w:pPr>
        <w:spacing w:after="120"/>
      </w:pPr>
      <w:r>
        <w:rPr>
          <w:i/>
          <w:iCs/>
          <w:sz w:val="22"/>
          <w:szCs w:val="22"/>
        </w:rPr>
        <w:t xml:space="preserve">Source : al-Hujurât 49:12</w:t>
      </w:r>
    </w:p>
    <w:p>
      <w:pPr>
        <w:spacing w:after="120"/>
      </w:pPr>
      <w:r>
        <w:rPr>
          <w:i/>
          <w:iCs/>
          <w:sz w:val="22"/>
          <w:szCs w:val="22"/>
        </w:rPr>
        <w:t xml:space="preserve">Quand : Le verset cardinal de la porte. L'image qui rend la médisance aussi répugnante qu'elle l'est en vérité.</w:t>
      </w:r>
    </w:p>
    <w:p>
      <w:pPr>
        <w:pStyle w:val="Heading3"/>
        <w:spacing w:before="200"/>
      </w:pPr>
      <w:r>
        <w:rPr>
          <w:b/>
          <w:bCs/>
          <w:sz w:val="22"/>
          <w:szCs w:val="22"/>
        </w:rPr>
        <w:t xml:space="preserve">2. Il ne prononce aucune parole sans avoir auprès de lui un observateur prêt [à l'inscrire].</w:t>
      </w:r>
    </w:p>
    <w:p>
      <w:pPr>
        <w:spacing w:after="120"/>
      </w:pPr>
      <w:r>
        <w:rPr>
          <w:sz w:val="22"/>
          <w:szCs w:val="22"/>
        </w:rPr>
        <w:t xml:space="preserve">Il ne prononce aucune parole sans avoir auprès de lui un observateur prêt [à l'inscrire].</w:t>
      </w:r>
    </w:p>
    <w:p>
      <w:pPr>
        <w:spacing w:after="120"/>
      </w:pPr>
      <w:r>
        <w:rPr>
          <w:i/>
          <w:iCs/>
          <w:sz w:val="22"/>
          <w:szCs w:val="22"/>
        </w:rPr>
        <w:t xml:space="preserve">Source : Qâf 50:18</w:t>
      </w:r>
    </w:p>
    <w:p>
      <w:pPr>
        <w:spacing w:after="120"/>
      </w:pPr>
      <w:r>
        <w:rPr>
          <w:i/>
          <w:iCs/>
          <w:sz w:val="22"/>
          <w:szCs w:val="22"/>
        </w:rPr>
        <w:t xml:space="preserve">Quand : À se rappeler avant de parler : chaque mot est consigné. La langue n'est jamais seule.</w:t>
      </w:r>
    </w:p>
    <w:p>
      <w:pPr>
        <w:pStyle w:val="Heading3"/>
        <w:spacing w:before="200"/>
      </w:pPr>
      <w:r>
        <w:rPr>
          <w:b/>
          <w:bCs/>
          <w:sz w:val="22"/>
          <w:szCs w:val="22"/>
        </w:rPr>
        <w:t xml:space="preserve">3. Évitez de trop conjecturer... N'espionnez pas, et ne médisez pas les uns des autres.</w:t>
      </w:r>
    </w:p>
    <w:p>
      <w:pPr>
        <w:spacing w:after="120"/>
      </w:pPr>
      <w:r>
        <w:rPr>
          <w:sz w:val="22"/>
          <w:szCs w:val="22"/>
        </w:rPr>
        <w:t xml:space="preserve">Évitez de trop conjecturer... N'espionnez pas, et ne médisez pas les uns des autres.</w:t>
      </w:r>
    </w:p>
    <w:p>
      <w:pPr>
        <w:spacing w:after="120"/>
      </w:pPr>
      <w:r>
        <w:rPr>
          <w:i/>
          <w:iCs/>
          <w:sz w:val="22"/>
          <w:szCs w:val="22"/>
        </w:rPr>
        <w:t xml:space="preserve">Source : al-Hujurât 49:12</w:t>
      </w:r>
    </w:p>
    <w:p>
      <w:pPr>
        <w:spacing w:after="120"/>
      </w:pPr>
      <w:r>
        <w:rPr>
          <w:i/>
          <w:iCs/>
          <w:sz w:val="22"/>
          <w:szCs w:val="22"/>
        </w:rPr>
        <w:t xml:space="preserve">Quand : La chaîne du mal : soupçon → espionnage → médisance. Couper dès le premier maillon.</w:t>
      </w:r>
    </w:p>
    <w:p>
      <w:pPr>
        <w:pStyle w:val="Heading3"/>
        <w:spacing w:before="200"/>
      </w:pPr>
      <w:r>
        <w:rPr>
          <w:b/>
          <w:bCs/>
          <w:sz w:val="22"/>
          <w:szCs w:val="22"/>
        </w:rPr>
        <w:t xml:space="preserve">4. Pourquoi, en l'entendant, n'avez-vous pas dit : « Il ne nous appartient pas d'en parler. Gloire à Toi ! C'est une énorme calomnie » ?</w:t>
      </w:r>
    </w:p>
    <w:p>
      <w:pPr>
        <w:spacing w:after="120"/>
      </w:pPr>
      <w:r>
        <w:rPr>
          <w:sz w:val="22"/>
          <w:szCs w:val="22"/>
        </w:rPr>
        <w:t xml:space="preserve">Pourquoi, en l'entendant, n'avez-vous pas dit : « Il ne nous appartient pas d'en parler. Gloire à Toi ! C'est une énorme calomnie » ?</w:t>
      </w:r>
    </w:p>
    <w:p>
      <w:pPr>
        <w:spacing w:after="120"/>
      </w:pPr>
      <w:r>
        <w:rPr>
          <w:i/>
          <w:iCs/>
          <w:sz w:val="22"/>
          <w:szCs w:val="22"/>
        </w:rPr>
        <w:t xml:space="preserve">Source : an-Nûr 24:16</w:t>
      </w:r>
    </w:p>
    <w:p>
      <w:pPr>
        <w:spacing w:after="120"/>
      </w:pPr>
      <w:r>
        <w:rPr>
          <w:i/>
          <w:iCs/>
          <w:sz w:val="22"/>
          <w:szCs w:val="22"/>
        </w:rPr>
        <w:t xml:space="preserve">Quand : La réponse exacte à donner quand une médisance ou calomnie t'atteint. L'auditeur n'est pas neutre.</w:t>
      </w:r>
    </w:p>
    <w:p>
      <w:pPr>
        <w:pStyle w:val="Heading3"/>
        <w:spacing w:before="200"/>
      </w:pPr>
      <w:r>
        <w:rPr>
          <w:b/>
          <w:bCs/>
          <w:sz w:val="22"/>
          <w:szCs w:val="22"/>
        </w:rPr>
        <w:t xml:space="preserve">5. N'obéis pas au grand jureur méprisable, diffamateur, qui s'en va colportant la calomnie.</w:t>
      </w:r>
    </w:p>
    <w:p>
      <w:pPr>
        <w:spacing w:after="120"/>
      </w:pPr>
      <w:r>
        <w:rPr>
          <w:sz w:val="22"/>
          <w:szCs w:val="22"/>
        </w:rPr>
        <w:t xml:space="preserve">N'obéis pas au grand jureur méprisable, diffamateur, qui s'en va colportant la calomnie.</w:t>
      </w:r>
    </w:p>
    <w:p>
      <w:pPr>
        <w:spacing w:after="120"/>
      </w:pPr>
      <w:r>
        <w:rPr>
          <w:i/>
          <w:iCs/>
          <w:sz w:val="22"/>
          <w:szCs w:val="22"/>
        </w:rPr>
        <w:t xml:space="preserve">Source : al-Qalam 68:10-11</w:t>
      </w:r>
    </w:p>
    <w:p>
      <w:pPr>
        <w:spacing w:after="120"/>
      </w:pPr>
      <w:r>
        <w:rPr>
          <w:i/>
          <w:iCs/>
          <w:sz w:val="22"/>
          <w:szCs w:val="22"/>
        </w:rPr>
        <w:t xml:space="preserve">Quand : Le portrait du colporteur (namîma) parmi les pires traits. Ne pas l'être, ni lui obéir.</w:t>
      </w:r>
    </w:p>
    <w:p>
      <w:pPr>
        <w:pStyle w:val="Heading3"/>
        <w:spacing w:before="200"/>
      </w:pPr>
      <w:r>
        <w:rPr>
          <w:b/>
          <w:bCs/>
          <w:sz w:val="22"/>
          <w:szCs w:val="22"/>
        </w:rPr>
        <w:t xml:space="preserve">6. N'as-tu pas vu comment Allah propose en parabole une bonne parole, semblable à un bel arbre : racine ferme, branches dans le ciel ?</w:t>
      </w:r>
    </w:p>
    <w:p>
      <w:pPr>
        <w:spacing w:after="120"/>
      </w:pPr>
      <w:r>
        <w:rPr>
          <w:sz w:val="22"/>
          <w:szCs w:val="22"/>
        </w:rPr>
        <w:t xml:space="preserve">N'as-tu pas vu comment Allah propose en parabole une bonne parole, semblable à un bel arbre : racine ferme, branches dans le ciel ?</w:t>
      </w:r>
    </w:p>
    <w:p>
      <w:pPr>
        <w:spacing w:after="120"/>
      </w:pPr>
      <w:r>
        <w:rPr>
          <w:i/>
          <w:iCs/>
          <w:sz w:val="22"/>
          <w:szCs w:val="22"/>
        </w:rPr>
        <w:t xml:space="preserve">Source : Ibrâhîm 14:24</w:t>
      </w:r>
    </w:p>
    <w:p>
      <w:pPr>
        <w:spacing w:after="120"/>
      </w:pPr>
      <w:r>
        <w:rPr>
          <w:i/>
          <w:iCs/>
          <w:sz w:val="22"/>
          <w:szCs w:val="22"/>
        </w:rPr>
        <w:t xml:space="preserve">Quand : La récompense de la bonne parole : un arbre fécond. Ne pas seulement retenir le mal, mais planter le bien.</w:t>
      </w:r>
    </w:p>
    <w:p>
      <w:pPr>
        <w:pStyle w:val="Heading3"/>
        <w:spacing w:before="200"/>
      </w:pPr>
      <w:r>
        <w:rPr>
          <w:b/>
          <w:bCs/>
          <w:sz w:val="22"/>
          <w:szCs w:val="22"/>
        </w:rPr>
        <w:t xml:space="preserve">7. Ô vous qui croyez ! Craignez Allah et dites une parole juste et droite.</w:t>
      </w:r>
    </w:p>
    <w:p>
      <w:pPr>
        <w:spacing w:after="120"/>
      </w:pPr>
      <w:r>
        <w:rPr>
          <w:sz w:val="22"/>
          <w:szCs w:val="22"/>
        </w:rPr>
        <w:t xml:space="preserve">Ô vous qui croyez ! Craignez Allah et dites une parole juste et droite.</w:t>
      </w:r>
    </w:p>
    <w:p>
      <w:pPr>
        <w:spacing w:after="120"/>
      </w:pPr>
      <w:r>
        <w:rPr>
          <w:i/>
          <w:iCs/>
          <w:sz w:val="22"/>
          <w:szCs w:val="22"/>
        </w:rPr>
        <w:t xml:space="preserve">Source : al-Ahzab 33:70</w:t>
      </w:r>
    </w:p>
    <w:p>
      <w:pPr>
        <w:spacing w:after="120"/>
      </w:pPr>
      <w:r>
        <w:rPr>
          <w:i/>
          <w:iCs/>
          <w:sz w:val="22"/>
          <w:szCs w:val="22"/>
        </w:rPr>
        <w:t xml:space="preserve">Quand : La consigne positive : non seulement éviter le mauvais mot, mais viser le mot droit (sadîd).</w:t>
      </w:r>
    </w:p>
    <w:p>
      <w:pPr>
        <w:pStyle w:val="Heading3"/>
        <w:spacing w:before="200"/>
      </w:pPr>
      <w:r>
        <w:rPr>
          <w:b/>
          <w:bCs/>
          <w:sz w:val="22"/>
          <w:szCs w:val="22"/>
        </w:rPr>
        <w:t xml:space="preserve">8. Ne vous dénigrez pas les uns les autres, et ne vous lancez pas de sobriquets [offensants].</w:t>
      </w:r>
    </w:p>
    <w:p>
      <w:pPr>
        <w:spacing w:after="120"/>
      </w:pPr>
      <w:r>
        <w:rPr>
          <w:sz w:val="22"/>
          <w:szCs w:val="22"/>
        </w:rPr>
        <w:t xml:space="preserve">Ne vous dénigrez pas les uns les autres, et ne vous lancez pas de sobriquets [offensants].</w:t>
      </w:r>
    </w:p>
    <w:p>
      <w:pPr>
        <w:spacing w:after="120"/>
      </w:pPr>
      <w:r>
        <w:rPr>
          <w:i/>
          <w:iCs/>
          <w:sz w:val="22"/>
          <w:szCs w:val="22"/>
        </w:rPr>
        <w:t xml:space="preserve">Source : al-Hujurât 49:11</w:t>
      </w:r>
    </w:p>
    <w:p>
      <w:pPr>
        <w:spacing w:after="120"/>
      </w:pPr>
      <w:r>
        <w:rPr>
          <w:i/>
          <w:iCs/>
          <w:sz w:val="22"/>
          <w:szCs w:val="22"/>
        </w:rPr>
        <w:t xml:space="preserve">Quand : Contre la pique (lamz) et les surnoms moqueurs — des fléaux quotidiens de la langue.</w:t>
      </w:r>
    </w:p>
    <w:p>
      <w:pPr>
        <w:pStyle w:val="Heading3"/>
        <w:spacing w:before="200"/>
      </w:pPr>
      <w:r>
        <w:rPr>
          <w:b/>
          <w:bCs/>
          <w:sz w:val="22"/>
          <w:szCs w:val="22"/>
        </w:rPr>
        <w:t xml:space="preserve">9. Une parole convenable et un pardon valent mieux qu'une aumône suivie d'un tort.</w:t>
      </w:r>
    </w:p>
    <w:p>
      <w:pPr>
        <w:spacing w:after="120"/>
      </w:pPr>
      <w:r>
        <w:rPr>
          <w:sz w:val="22"/>
          <w:szCs w:val="22"/>
        </w:rPr>
        <w:t xml:space="preserve">Une parole convenable et un pardon valent mieux qu'une aumône suivie d'un tort.</w:t>
      </w:r>
    </w:p>
    <w:p>
      <w:pPr>
        <w:spacing w:after="120"/>
      </w:pPr>
      <w:r>
        <w:rPr>
          <w:i/>
          <w:iCs/>
          <w:sz w:val="22"/>
          <w:szCs w:val="22"/>
        </w:rPr>
        <w:t xml:space="preserve">Source : al-Baqara 2:263</w:t>
      </w:r>
    </w:p>
    <w:p>
      <w:pPr>
        <w:spacing w:after="120"/>
      </w:pPr>
      <w:r>
        <w:rPr>
          <w:i/>
          <w:iCs/>
          <w:sz w:val="22"/>
          <w:szCs w:val="22"/>
        </w:rPr>
        <w:t xml:space="preserve">Quand : La parole bonne pèse plus qu'une aumône gâchée par une parole blessante. La langue compte autant que la main.</w:t>
      </w:r>
    </w:p>
    <w:p>
      <w:pPr>
        <w:pStyle w:val="Heading3"/>
        <w:spacing w:before="200"/>
      </w:pPr>
      <w:r>
        <w:rPr>
          <w:b/>
          <w:bCs/>
          <w:sz w:val="22"/>
          <w:szCs w:val="22"/>
        </w:rPr>
        <w:t xml:space="preserve">10. Qui tient plus beau langage que celui qui appelle à Allah, fait le bien...?</w:t>
      </w:r>
    </w:p>
    <w:p>
      <w:pPr>
        <w:spacing w:after="120"/>
      </w:pPr>
      <w:r>
        <w:rPr>
          <w:sz w:val="22"/>
          <w:szCs w:val="22"/>
        </w:rPr>
        <w:t xml:space="preserve">Qui tient plus beau langage que celui qui appelle à Allah, fait le bien...?</w:t>
      </w:r>
    </w:p>
    <w:p>
      <w:pPr>
        <w:spacing w:after="120"/>
      </w:pPr>
      <w:r>
        <w:rPr>
          <w:i/>
          <w:iCs/>
          <w:sz w:val="22"/>
          <w:szCs w:val="22"/>
        </w:rPr>
        <w:t xml:space="preserve">Source : Fussilat 41:33</w:t>
      </w:r>
    </w:p>
    <w:p>
      <w:pPr>
        <w:spacing w:after="120"/>
      </w:pPr>
      <w:r>
        <w:rPr>
          <w:i/>
          <w:iCs/>
          <w:sz w:val="22"/>
          <w:szCs w:val="22"/>
        </w:rPr>
        <w:t xml:space="preserve">Quand : La plus belle parole est celle qui rapproche d'Allah. Voilà vers quoi rediriger la langue.</w:t>
      </w:r>
    </w:p>
    <w:p>
      <w:pPr>
        <w:pStyle w:val="Heading3"/>
        <w:spacing w:before="200"/>
      </w:pPr>
      <w:r>
        <w:rPr>
          <w:b/>
          <w:bCs/>
          <w:sz w:val="22"/>
          <w:szCs w:val="22"/>
        </w:rPr>
        <w:t xml:space="preserve">11. Et ceux qui se détournent des paroles vaines.</w:t>
      </w:r>
    </w:p>
    <w:p>
      <w:pPr>
        <w:spacing w:after="120"/>
      </w:pPr>
      <w:r>
        <w:rPr>
          <w:sz w:val="22"/>
          <w:szCs w:val="22"/>
        </w:rPr>
        <w:t xml:space="preserve">Et ceux qui se détournent des paroles vaines.</w:t>
      </w:r>
    </w:p>
    <w:p>
      <w:pPr>
        <w:spacing w:after="120"/>
      </w:pPr>
      <w:r>
        <w:rPr>
          <w:i/>
          <w:iCs/>
          <w:sz w:val="22"/>
          <w:szCs w:val="22"/>
        </w:rPr>
        <w:t xml:space="preserve">Source : al-Mu'minûn 23:3</w:t>
      </w:r>
    </w:p>
    <w:p>
      <w:pPr>
        <w:spacing w:after="120"/>
      </w:pPr>
      <w:r>
        <w:rPr>
          <w:i/>
          <w:iCs/>
          <w:sz w:val="22"/>
          <w:szCs w:val="22"/>
        </w:rPr>
        <w:t xml:space="preserve">Quand : Trait des croyants qui réussissent : se détourner du laghw (le futile, le vain) — la matière première de la médisance.</w:t>
      </w:r>
    </w:p>
    <w:p>
      <w:pPr>
        <w:pStyle w:val="Heading3"/>
        <w:spacing w:before="200"/>
      </w:pPr>
      <w:r>
        <w:rPr>
          <w:b/>
          <w:bCs/>
          <w:sz w:val="22"/>
          <w:szCs w:val="22"/>
        </w:rPr>
        <w:t xml:space="preserve">12. Si un pervers vous apporte une nouvelle, vérifiez-la, de peur d'atteindre des gens par ignorance.</w:t>
      </w:r>
    </w:p>
    <w:p>
      <w:pPr>
        <w:spacing w:after="120"/>
      </w:pPr>
      <w:r>
        <w:rPr>
          <w:sz w:val="22"/>
          <w:szCs w:val="22"/>
        </w:rPr>
        <w:t xml:space="preserve">Si un pervers vous apporte une nouvelle, vérifiez-la, de peur d'atteindre des gens par ignorance.</w:t>
      </w:r>
    </w:p>
    <w:p>
      <w:pPr>
        <w:spacing w:after="120"/>
      </w:pPr>
      <w:r>
        <w:rPr>
          <w:i/>
          <w:iCs/>
          <w:sz w:val="22"/>
          <w:szCs w:val="22"/>
        </w:rPr>
        <w:t xml:space="preserve">Source : al-Hujurât 49:6</w:t>
      </w:r>
    </w:p>
    <w:p>
      <w:pPr>
        <w:spacing w:after="120"/>
      </w:pPr>
      <w:r>
        <w:rPr>
          <w:i/>
          <w:iCs/>
          <w:sz w:val="22"/>
          <w:szCs w:val="22"/>
        </w:rPr>
        <w:t xml:space="preserve">Quand : Le devoir de tabayyun (vérifier) avant de transmettre — l'antidote du colportage et des rumeurs.</w:t>
      </w:r>
    </w:p>
    <w:p>
      <w:pPr>
        <w:pStyle w:val="Heading2"/>
        <w:spacing w:before="300"/>
      </w:pPr>
      <w:r>
        <w:rPr>
          <w:b/>
          <w:bCs/>
          <w:sz w:val="26"/>
          <w:szCs w:val="26"/>
        </w:rPr>
        <w:t xml:space="preserve">Paroles du Prophète ﷺ</w:t>
      </w:r>
    </w:p>
    <w:p>
      <w:pPr>
        <w:spacing w:after="120"/>
      </w:pPr>
      <w:r>
        <w:rPr>
          <w:i/>
          <w:iCs/>
          <w:sz w:val="22"/>
          <w:szCs w:val="22"/>
        </w:rPr>
        <w:t xml:space="preserve">La définition de la ghîba, sa gravité, et l'éloge de la parole maîtrisée.</w:t>
      </w:r>
    </w:p>
    <w:p>
      <w:pPr>
        <w:pStyle w:val="Heading3"/>
        <w:spacing w:before="200"/>
      </w:pPr>
      <w:r>
        <w:rPr>
          <w:b/>
          <w:bCs/>
          <w:sz w:val="22"/>
          <w:szCs w:val="22"/>
        </w:rPr>
        <w:t xml:space="preserve">1. (La médisance, c'est) mentionner ton frère par ce qu'il déteste. — Et s'il a vraiment ce que je dis ? — Si c'est en lui, tu l'as médit ; sinon, tu l'as calomnié.</w:t>
      </w:r>
    </w:p>
    <w:p>
      <w:pPr>
        <w:spacing w:after="120"/>
      </w:pPr>
      <w:r>
        <w:rPr>
          <w:sz w:val="22"/>
          <w:szCs w:val="22"/>
        </w:rPr>
        <w:t xml:space="preserve">(La médisance, c'est) mentionner ton frère par ce qu'il déteste. — Et s'il a vraiment ce que je dis ? — Si c'est en lui, tu l'as médit ; sinon, tu l'as calomnié.</w:t>
      </w:r>
    </w:p>
    <w:p>
      <w:pPr>
        <w:spacing w:after="120"/>
      </w:pPr>
      <w:r>
        <w:rPr>
          <w:i/>
          <w:iCs/>
          <w:sz w:val="22"/>
          <w:szCs w:val="22"/>
        </w:rPr>
        <w:t xml:space="preserve">Source : Sahîh Muslim 2589</w:t>
      </w:r>
    </w:p>
    <w:p>
      <w:pPr>
        <w:spacing w:after="120"/>
      </w:pPr>
      <w:r>
        <w:rPr>
          <w:i/>
          <w:iCs/>
          <w:sz w:val="22"/>
          <w:szCs w:val="22"/>
        </w:rPr>
        <w:t xml:space="preserve">Quand : LA définition prophétique de la ghîba, et la différence avec le buhtân (calomnie). Le socle de la porte.</w:t>
      </w:r>
    </w:p>
    <w:p>
      <w:pPr>
        <w:pStyle w:val="Heading3"/>
        <w:spacing w:before="200"/>
      </w:pPr>
      <w:r>
        <w:rPr>
          <w:b/>
          <w:bCs/>
          <w:sz w:val="22"/>
          <w:szCs w:val="22"/>
        </w:rPr>
        <w:t xml:space="preserve">2. Savez-vous qui est le banqueroutier ? ... Il vient ayant insulté l'un, calomnié l'autre... alors on donne à chacun de ses bonnes actions.</w:t>
      </w:r>
    </w:p>
    <w:p>
      <w:pPr>
        <w:spacing w:after="120"/>
      </w:pPr>
      <w:r>
        <w:rPr>
          <w:sz w:val="22"/>
          <w:szCs w:val="22"/>
        </w:rPr>
        <w:t xml:space="preserve">Savez-vous qui est le banqueroutier ? ... Il vient ayant insulté l'un, calomnié l'autre... alors on donne à chacun de ses bonnes actions.</w:t>
      </w:r>
    </w:p>
    <w:p>
      <w:pPr>
        <w:spacing w:after="120"/>
      </w:pPr>
      <w:r>
        <w:rPr>
          <w:i/>
          <w:iCs/>
          <w:sz w:val="22"/>
          <w:szCs w:val="22"/>
        </w:rPr>
        <w:t xml:space="preserve">Source : Sahîh Muslim 2581</w:t>
      </w:r>
    </w:p>
    <w:p>
      <w:pPr>
        <w:spacing w:after="120"/>
      </w:pPr>
      <w:r>
        <w:rPr>
          <w:i/>
          <w:iCs/>
          <w:sz w:val="22"/>
          <w:szCs w:val="22"/>
        </w:rPr>
        <w:t xml:space="preserve">Quand : La médisance transfère tes hasanât à ta victime. Le coût caché, payé le Jour du Jugement.</w:t>
      </w:r>
    </w:p>
    <w:p>
      <w:pPr>
        <w:pStyle w:val="Heading3"/>
        <w:spacing w:before="200"/>
      </w:pPr>
      <w:r>
        <w:rPr>
          <w:b/>
          <w:bCs/>
          <w:sz w:val="22"/>
          <w:szCs w:val="22"/>
        </w:rPr>
        <w:t xml:space="preserve">3. Quiconque croit en Allah et au Jour dernier, qu'il dise du bien ou qu'il se taise.</w:t>
      </w:r>
    </w:p>
    <w:p>
      <w:pPr>
        <w:spacing w:after="120"/>
      </w:pPr>
      <w:r>
        <w:rPr>
          <w:sz w:val="22"/>
          <w:szCs w:val="22"/>
        </w:rPr>
        <w:t xml:space="preserve">Quiconque croit en Allah et au Jour dernier, qu'il dise du bien ou qu'il se taise.</w:t>
      </w:r>
    </w:p>
    <w:p>
      <w:pPr>
        <w:spacing w:after="120"/>
      </w:pPr>
      <w:r>
        <w:rPr>
          <w:i/>
          <w:iCs/>
          <w:sz w:val="22"/>
          <w:szCs w:val="22"/>
        </w:rPr>
        <w:t xml:space="preserve">Source : Bukhârî 6018 ; Muslim 47</w:t>
      </w:r>
    </w:p>
    <w:p>
      <w:pPr>
        <w:spacing w:after="120"/>
      </w:pPr>
      <w:r>
        <w:rPr>
          <w:i/>
          <w:iCs/>
          <w:sz w:val="22"/>
          <w:szCs w:val="22"/>
        </w:rPr>
        <w:t xml:space="preserve">Quand : Le remède en une phrase. Entre dire du bien et se taire, pas de troisième porte permise.</w:t>
      </w:r>
    </w:p>
    <w:p>
      <w:pPr>
        <w:pStyle w:val="Heading3"/>
        <w:spacing w:before="200"/>
      </w:pPr>
      <w:r>
        <w:rPr>
          <w:b/>
          <w:bCs/>
          <w:sz w:val="22"/>
          <w:szCs w:val="22"/>
        </w:rPr>
        <w:t xml:space="preserve">4. N'entrera pas au Paradis un colporteur.</w:t>
      </w:r>
    </w:p>
    <w:p>
      <w:pPr>
        <w:spacing w:after="120"/>
      </w:pPr>
      <w:r>
        <w:rPr>
          <w:sz w:val="22"/>
          <w:szCs w:val="22"/>
        </w:rPr>
        <w:t xml:space="preserve">N'entrera pas au Paradis un colporteur.</w:t>
      </w:r>
    </w:p>
    <w:p>
      <w:pPr>
        <w:spacing w:after="120"/>
      </w:pPr>
      <w:r>
        <w:rPr>
          <w:i/>
          <w:iCs/>
          <w:sz w:val="22"/>
          <w:szCs w:val="22"/>
        </w:rPr>
        <w:t xml:space="preserve">Source : Bukhârî 6056 ; Muslim 105</w:t>
      </w:r>
    </w:p>
    <w:p>
      <w:pPr>
        <w:spacing w:after="120"/>
      </w:pPr>
      <w:r>
        <w:rPr>
          <w:i/>
          <w:iCs/>
          <w:sz w:val="22"/>
          <w:szCs w:val="22"/>
        </w:rPr>
        <w:t xml:space="preserve">Quand : La gravité de la namîma (colportage), qui brise les liens entre les gens.</w:t>
      </w:r>
    </w:p>
    <w:p>
      <w:pPr>
        <w:pStyle w:val="Heading3"/>
        <w:spacing w:before="200"/>
      </w:pPr>
      <w:r>
        <w:rPr>
          <w:b/>
          <w:bCs/>
          <w:sz w:val="22"/>
          <w:szCs w:val="22"/>
        </w:rPr>
        <w:t xml:space="preserve">5. Quiconque défend l'honneur de son frère [absent], Allah écartera le Feu de son visage au Jour de la Résurrection.</w:t>
      </w:r>
    </w:p>
    <w:p>
      <w:pPr>
        <w:spacing w:after="120"/>
      </w:pPr>
      <w:r>
        <w:rPr>
          <w:sz w:val="22"/>
          <w:szCs w:val="22"/>
        </w:rPr>
        <w:t xml:space="preserve">Quiconque défend l'honneur de son frère [absent], Allah écartera le Feu de son visage au Jour de la Résurrection.</w:t>
      </w:r>
    </w:p>
    <w:p>
      <w:pPr>
        <w:spacing w:after="120"/>
      </w:pPr>
      <w:r>
        <w:rPr>
          <w:i/>
          <w:iCs/>
          <w:sz w:val="22"/>
          <w:szCs w:val="22"/>
        </w:rPr>
        <w:t xml:space="preserve">Source : Tirmidhî 1931 — hasan</w:t>
      </w:r>
    </w:p>
    <w:p>
      <w:pPr>
        <w:spacing w:after="120"/>
      </w:pPr>
      <w:r>
        <w:rPr>
          <w:i/>
          <w:iCs/>
          <w:sz w:val="22"/>
          <w:szCs w:val="22"/>
        </w:rPr>
        <w:t xml:space="preserve">Quand : Le devoir et la récompense de l'auditeur : défendre l'absent au lieu de jouir de sa médisance.</w:t>
      </w:r>
    </w:p>
    <w:p>
      <w:pPr>
        <w:pStyle w:val="Heading3"/>
        <w:spacing w:before="200"/>
      </w:pPr>
      <w:r>
        <w:rPr>
          <w:b/>
          <w:bCs/>
          <w:sz w:val="22"/>
          <w:szCs w:val="22"/>
        </w:rPr>
        <w:t xml:space="preserve">6. La bonne parole est une aumône.</w:t>
      </w:r>
    </w:p>
    <w:p>
      <w:pPr>
        <w:spacing w:after="120"/>
      </w:pPr>
      <w:r>
        <w:rPr>
          <w:sz w:val="22"/>
          <w:szCs w:val="22"/>
        </w:rPr>
        <w:t xml:space="preserve">La bonne parole est une aumône.</w:t>
      </w:r>
    </w:p>
    <w:p>
      <w:pPr>
        <w:spacing w:after="120"/>
      </w:pPr>
      <w:r>
        <w:rPr>
          <w:i/>
          <w:iCs/>
          <w:sz w:val="22"/>
          <w:szCs w:val="22"/>
        </w:rPr>
        <w:t xml:space="preserve">Source : Bukhârî 2989 ; Muslim 1009</w:t>
      </w:r>
    </w:p>
    <w:p>
      <w:pPr>
        <w:spacing w:after="120"/>
      </w:pPr>
      <w:r>
        <w:rPr>
          <w:i/>
          <w:iCs/>
          <w:sz w:val="22"/>
          <w:szCs w:val="22"/>
        </w:rPr>
        <w:t xml:space="preserve">Quand : La même langue qui pouvait blesser peut donner l'aumône à chaque phrase.</w:t>
      </w:r>
    </w:p>
    <w:p>
      <w:pPr>
        <w:pStyle w:val="Heading3"/>
        <w:spacing w:before="200"/>
      </w:pPr>
      <w:r>
        <w:rPr>
          <w:b/>
          <w:bCs/>
          <w:sz w:val="22"/>
          <w:szCs w:val="22"/>
        </w:rPr>
        <w:t xml:space="preserve">7. Deux mots légers sur la langue, lourds dans la balance, aimés du Tout-Miséricordieux : SubhânaLlâhi wa bihamdih, SubhânaLlâhi-l-'Azîm.</w:t>
      </w:r>
    </w:p>
    <w:p>
      <w:pPr>
        <w:spacing w:after="120"/>
      </w:pPr>
      <w:r>
        <w:rPr>
          <w:sz w:val="22"/>
          <w:szCs w:val="22"/>
        </w:rPr>
        <w:t xml:space="preserve">Deux mots légers sur la langue, lourds dans la balance, aimés du Tout-Miséricordieux : SubhânaLlâhi wa bihamdih, SubhânaLlâhi-l-'Azîm.</w:t>
      </w:r>
    </w:p>
    <w:p>
      <w:pPr>
        <w:spacing w:after="120"/>
      </w:pPr>
      <w:r>
        <w:rPr>
          <w:i/>
          <w:iCs/>
          <w:sz w:val="22"/>
          <w:szCs w:val="22"/>
        </w:rPr>
        <w:t xml:space="preserve">Source : Bukhârî 6406 ; Muslim 2694</w:t>
      </w:r>
    </w:p>
    <w:p>
      <w:pPr>
        <w:spacing w:after="120"/>
      </w:pPr>
      <w:r>
        <w:rPr>
          <w:i/>
          <w:iCs/>
          <w:sz w:val="22"/>
          <w:szCs w:val="22"/>
        </w:rPr>
        <w:t xml:space="preserve">Quand : De quoi remplir la langue libérée : les mots les plus légers et les plus lourds à la fois.</w:t>
      </w:r>
    </w:p>
    <w:p>
      <w:pPr>
        <w:pStyle w:val="Heading3"/>
        <w:spacing w:before="200"/>
      </w:pPr>
      <w:r>
        <w:rPr>
          <w:b/>
          <w:bCs/>
          <w:sz w:val="22"/>
          <w:szCs w:val="22"/>
        </w:rPr>
        <w:t xml:space="preserve">8. Le serviteur prononce parfois une parole sans y prêter attention, et elle le fait glisser en Enfer plus loin que la distance entre l'orient et l'occident.</w:t>
      </w:r>
    </w:p>
    <w:p>
      <w:pPr>
        <w:spacing w:after="120"/>
      </w:pPr>
      <w:r>
        <w:rPr>
          <w:sz w:val="22"/>
          <w:szCs w:val="22"/>
        </w:rPr>
        <w:t xml:space="preserve">Le serviteur prononce parfois une parole sans y prêter attention, et elle le fait glisser en Enfer plus loin que la distance entre l'orient et l'occident.</w:t>
      </w:r>
    </w:p>
    <w:p>
      <w:pPr>
        <w:spacing w:after="120"/>
      </w:pPr>
      <w:r>
        <w:rPr>
          <w:i/>
          <w:iCs/>
          <w:sz w:val="22"/>
          <w:szCs w:val="22"/>
        </w:rPr>
        <w:t xml:space="preserve">Source : Bukhârî 6477 ; Muslim 2988</w:t>
      </w:r>
    </w:p>
    <w:p>
      <w:pPr>
        <w:spacing w:after="120"/>
      </w:pPr>
      <w:r>
        <w:rPr>
          <w:i/>
          <w:iCs/>
          <w:sz w:val="22"/>
          <w:szCs w:val="22"/>
        </w:rPr>
        <w:t xml:space="preserve">Quand : La gravité d'un seul mot lancé sans réfléchir. Le poids réel de ce qui « sort tout seul ».</w:t>
      </w:r>
    </w:p>
    <w:p>
      <w:pPr>
        <w:pStyle w:val="Heading3"/>
        <w:spacing w:before="200"/>
      </w:pPr>
      <w:r>
        <w:rPr>
          <w:b/>
          <w:bCs/>
          <w:sz w:val="22"/>
          <w:szCs w:val="22"/>
        </w:rPr>
        <w:t xml:space="preserve">9. Veux-tu que je t'informe de la clé de tout cela ? ... Retiens ceci — et il montra sa langue.</w:t>
      </w:r>
    </w:p>
    <w:p>
      <w:pPr>
        <w:spacing w:after="120"/>
      </w:pPr>
      <w:r>
        <w:rPr>
          <w:sz w:val="22"/>
          <w:szCs w:val="22"/>
        </w:rPr>
        <w:t xml:space="preserve">Veux-tu que je t'informe de la clé de tout cela ? ... Retiens ceci — et il montra sa langue.</w:t>
      </w:r>
    </w:p>
    <w:p>
      <w:pPr>
        <w:spacing w:after="120"/>
      </w:pPr>
      <w:r>
        <w:rPr>
          <w:i/>
          <w:iCs/>
          <w:sz w:val="22"/>
          <w:szCs w:val="22"/>
        </w:rPr>
        <w:t xml:space="preserve">Source : Tirmidhî 2616 — hasan sahîh</w:t>
      </w:r>
    </w:p>
    <w:p>
      <w:pPr>
        <w:spacing w:after="120"/>
      </w:pPr>
      <w:r>
        <w:rPr>
          <w:i/>
          <w:iCs/>
          <w:sz w:val="22"/>
          <w:szCs w:val="22"/>
        </w:rPr>
        <w:t xml:space="preserve">Quand : La langue est la clé de tout le reste. La maîtriser, c'est tenir l'essentiel de la religion.</w:t>
      </w:r>
    </w:p>
    <w:p>
      <w:pPr>
        <w:pStyle w:val="Heading3"/>
        <w:spacing w:before="200"/>
      </w:pPr>
      <w:r>
        <w:rPr>
          <w:b/>
          <w:bCs/>
          <w:sz w:val="22"/>
          <w:szCs w:val="22"/>
        </w:rPr>
        <w:t xml:space="preserve">10. Le musulman est celui dont les [autres] musulmans sont préservés de la langue et de la main.</w:t>
      </w:r>
    </w:p>
    <w:p>
      <w:pPr>
        <w:spacing w:after="120"/>
      </w:pPr>
      <w:r>
        <w:rPr>
          <w:sz w:val="22"/>
          <w:szCs w:val="22"/>
        </w:rPr>
        <w:t xml:space="preserve">Le musulman est celui dont les [autres] musulmans sont préservés de la langue et de la main.</w:t>
      </w:r>
    </w:p>
    <w:p>
      <w:pPr>
        <w:spacing w:after="120"/>
      </w:pPr>
      <w:r>
        <w:rPr>
          <w:i/>
          <w:iCs/>
          <w:sz w:val="22"/>
          <w:szCs w:val="22"/>
        </w:rPr>
        <w:t xml:space="preserve">Source : Bukhârî 10 ; Muslim 40</w:t>
      </w:r>
    </w:p>
    <w:p>
      <w:pPr>
        <w:spacing w:after="120"/>
      </w:pPr>
      <w:r>
        <w:rPr>
          <w:i/>
          <w:iCs/>
          <w:sz w:val="22"/>
          <w:szCs w:val="22"/>
        </w:rPr>
        <w:t xml:space="preserve">Quand : La définition du musulman commence par la langue : qu'autrui en soit sauf. Fondamental.</w:t>
      </w:r>
    </w:p>
    <w:p>
      <w:pPr>
        <w:pStyle w:val="Heading2"/>
        <w:spacing w:before="300"/>
      </w:pPr>
      <w:r>
        <w:rPr>
          <w:b/>
          <w:bCs/>
          <w:sz w:val="26"/>
          <w:szCs w:val="26"/>
        </w:rPr>
        <w:t xml:space="preserve">Du'âs à mémoriser</w:t>
      </w:r>
    </w:p>
    <w:p>
      <w:pPr>
        <w:spacing w:after="120"/>
      </w:pPr>
      <w:r>
        <w:rPr>
          <w:i/>
          <w:iCs/>
          <w:sz w:val="22"/>
          <w:szCs w:val="22"/>
        </w:rPr>
        <w:t xml:space="preserve">Les invocations pour garder la langue, répondre à la calomnie et réparer.</w:t>
      </w:r>
    </w:p>
    <w:p>
      <w:pPr>
        <w:pStyle w:val="Heading3"/>
        <w:spacing w:before="200"/>
      </w:pPr>
      <w:r>
        <w:rPr>
          <w:b/>
          <w:bCs/>
          <w:sz w:val="22"/>
          <w:szCs w:val="22"/>
        </w:rPr>
        <w:t xml:space="preserve">1. Gloire et louange à Toi, ô Allah. J'atteste qu'il n'y a de divinité que Toi. Je Te demande pardon et je me repens à Toi.</w:t>
      </w:r>
    </w:p>
    <w:p>
      <w:pPr>
        <w:spacing w:after="120"/>
      </w:pPr>
      <w:r>
        <w:rPr>
          <w:sz w:val="22"/>
          <w:szCs w:val="22"/>
        </w:rPr>
        <w:t xml:space="preserve">Gloire et louange à Toi, ô Allah. J'atteste qu'il n'y a de divinité que Toi. Je Te demande pardon et je me repens à Toi.</w:t>
      </w:r>
    </w:p>
    <w:p>
      <w:pPr>
        <w:spacing w:after="120"/>
      </w:pPr>
      <w:r>
        <w:rPr>
          <w:i/>
          <w:iCs/>
          <w:sz w:val="22"/>
          <w:szCs w:val="22"/>
        </w:rPr>
        <w:t xml:space="preserve">Source : Tirmidhî 3433 — sahîh</w:t>
      </w:r>
    </w:p>
    <w:p>
      <w:pPr>
        <w:spacing w:after="120"/>
      </w:pPr>
      <w:r>
        <w:rPr>
          <w:i/>
          <w:iCs/>
          <w:sz w:val="22"/>
          <w:szCs w:val="22"/>
        </w:rPr>
        <w:t xml:space="preserve">Quand : La kaffârat al-majlis : à dire à la fin d'une assise pour effacer ce que la langue y a laissé échapper.</w:t>
      </w:r>
    </w:p>
    <w:p>
      <w:pPr>
        <w:pStyle w:val="Heading3"/>
        <w:spacing w:before="200"/>
      </w:pPr>
      <w:r>
        <w:rPr>
          <w:b/>
          <w:bCs/>
          <w:sz w:val="22"/>
          <w:szCs w:val="22"/>
        </w:rPr>
        <w:t xml:space="preserve">2. Ô Allah, aide-moi à T'évoquer, à Te remercier, et à T'adorer de la plus belle manière.</w:t>
      </w:r>
    </w:p>
    <w:p>
      <w:pPr>
        <w:spacing w:after="120"/>
      </w:pPr>
      <w:r>
        <w:rPr>
          <w:sz w:val="22"/>
          <w:szCs w:val="22"/>
        </w:rPr>
        <w:t xml:space="preserve">Ô Allah, aide-moi à T'évoquer, à Te remercier, et à T'adorer de la plus belle manière.</w:t>
      </w:r>
    </w:p>
    <w:p>
      <w:pPr>
        <w:spacing w:after="120"/>
      </w:pPr>
      <w:r>
        <w:rPr>
          <w:i/>
          <w:iCs/>
          <w:sz w:val="22"/>
          <w:szCs w:val="22"/>
        </w:rPr>
        <w:t xml:space="preserve">Source : Abû Dâwûd 1522 — sahîh</w:t>
      </w:r>
    </w:p>
    <w:p>
      <w:pPr>
        <w:spacing w:after="120"/>
      </w:pPr>
      <w:r>
        <w:rPr>
          <w:i/>
          <w:iCs/>
          <w:sz w:val="22"/>
          <w:szCs w:val="22"/>
        </w:rPr>
        <w:t xml:space="preserve">Quand : Du'â de Muʿâdh, après chaque prière : occuper la langue par le meilleur pour qu'il reste moins de place au pire.</w:t>
      </w:r>
    </w:p>
    <w:p>
      <w:pPr>
        <w:pStyle w:val="Heading3"/>
        <w:spacing w:before="200"/>
      </w:pPr>
      <w:r>
        <w:rPr>
          <w:b/>
          <w:bCs/>
          <w:sz w:val="22"/>
          <w:szCs w:val="22"/>
        </w:rPr>
        <w:t xml:space="preserve">3. Gloire à Toi ! C'est une énorme calomnie.</w:t>
      </w:r>
    </w:p>
    <w:p>
      <w:pPr>
        <w:spacing w:after="120"/>
      </w:pPr>
      <w:r>
        <w:rPr>
          <w:sz w:val="22"/>
          <w:szCs w:val="22"/>
        </w:rPr>
        <w:t xml:space="preserve">Gloire à Toi ! C'est une énorme calomnie.</w:t>
      </w:r>
    </w:p>
    <w:p>
      <w:pPr>
        <w:spacing w:after="120"/>
      </w:pPr>
      <w:r>
        <w:rPr>
          <w:i/>
          <w:iCs/>
          <w:sz w:val="22"/>
          <w:szCs w:val="22"/>
        </w:rPr>
        <w:t xml:space="preserve">Source : an-Nûr 24:16</w:t>
      </w:r>
    </w:p>
    <w:p>
      <w:pPr>
        <w:spacing w:after="120"/>
      </w:pPr>
      <w:r>
        <w:rPr>
          <w:i/>
          <w:iCs/>
          <w:sz w:val="22"/>
          <w:szCs w:val="22"/>
        </w:rPr>
        <w:t xml:space="preserve">Quand : À dire quand une médisance ou une calomnie t'atteint : la réponse même qu'Allah a enseignée.</w:t>
      </w:r>
    </w:p>
    <w:p>
      <w:pPr>
        <w:pStyle w:val="Heading3"/>
        <w:spacing w:before="200"/>
      </w:pPr>
      <w:r>
        <w:rPr>
          <w:b/>
          <w:bCs/>
          <w:sz w:val="22"/>
          <w:szCs w:val="22"/>
        </w:rPr>
        <w:t xml:space="preserve">4. Ô Allah, pardonne-lui, fais-lui miséricorde, et accorde-lui le bien-être.</w:t>
      </w:r>
    </w:p>
    <w:p>
      <w:pPr>
        <w:spacing w:after="120"/>
      </w:pPr>
      <w:r>
        <w:rPr>
          <w:sz w:val="22"/>
          <w:szCs w:val="22"/>
        </w:rPr>
        <w:t xml:space="preserve">Ô Allah, pardonne-lui, fais-lui miséricorde, et accorde-lui le bien-être.</w:t>
      </w:r>
    </w:p>
    <w:p>
      <w:pPr>
        <w:spacing w:after="120"/>
      </w:pPr>
      <w:r>
        <w:rPr>
          <w:i/>
          <w:iCs/>
          <w:sz w:val="22"/>
          <w:szCs w:val="22"/>
        </w:rPr>
        <w:t xml:space="preserve">Source : Esprit de Sahîh Muslim 2733 (du'â pour l'absent exaucée)</w:t>
      </w:r>
    </w:p>
    <w:p>
      <w:pPr>
        <w:spacing w:after="120"/>
      </w:pPr>
      <w:r>
        <w:rPr>
          <w:i/>
          <w:iCs/>
          <w:sz w:val="22"/>
          <w:szCs w:val="22"/>
        </w:rPr>
        <w:t xml:space="preserve">Quand : La réparation : pour qui tu as médit, demande le bien dans son dos — l'inverse exact de la médisance.</w:t>
      </w:r>
    </w:p>
    <w:p>
      <w:pPr>
        <w:pStyle w:val="Heading3"/>
        <w:spacing w:before="200"/>
      </w:pPr>
      <w:r>
        <w:rPr>
          <w:b/>
          <w:bCs/>
          <w:sz w:val="22"/>
          <w:szCs w:val="22"/>
        </w:rPr>
        <w:t xml:space="preserve">5. Ô Allah, je cherche refuge en Toi contre les caractères, les actes et les passions blâmables.</w:t>
      </w:r>
    </w:p>
    <w:p>
      <w:pPr>
        <w:spacing w:after="120"/>
      </w:pPr>
      <w:r>
        <w:rPr>
          <w:sz w:val="22"/>
          <w:szCs w:val="22"/>
        </w:rPr>
        <w:t xml:space="preserve">Ô Allah, je cherche refuge en Toi contre les caractères, les actes et les passions blâmables.</w:t>
      </w:r>
    </w:p>
    <w:p>
      <w:pPr>
        <w:spacing w:after="120"/>
      </w:pPr>
      <w:r>
        <w:rPr>
          <w:i/>
          <w:iCs/>
          <w:sz w:val="22"/>
          <w:szCs w:val="22"/>
        </w:rPr>
        <w:t xml:space="preserve">Source : Tirmidhî 3591 — hasan</w:t>
      </w:r>
    </w:p>
    <w:p>
      <w:pPr>
        <w:spacing w:after="120"/>
      </w:pPr>
      <w:r>
        <w:rPr>
          <w:i/>
          <w:iCs/>
          <w:sz w:val="22"/>
          <w:szCs w:val="22"/>
        </w:rPr>
        <w:t xml:space="preserve">Quand : Refuge contre les défauts de caractère (colère, envie) qui sont les ressorts de la médisance.</w:t>
      </w:r>
    </w:p>
    <w:p>
      <w:pPr>
        <w:pStyle w:val="Heading3"/>
        <w:spacing w:before="200"/>
      </w:pPr>
      <w:r>
        <w:rPr>
          <w:b/>
          <w:bCs/>
          <w:sz w:val="22"/>
          <w:szCs w:val="22"/>
        </w:rPr>
        <w:t xml:space="preserve">6. Mon Seigneur, je cherche refuge en Toi contre les incitations des diables.</w:t>
      </w:r>
    </w:p>
    <w:p>
      <w:pPr>
        <w:spacing w:after="120"/>
      </w:pPr>
      <w:r>
        <w:rPr>
          <w:sz w:val="22"/>
          <w:szCs w:val="22"/>
        </w:rPr>
        <w:t xml:space="preserve">Mon Seigneur, je cherche refuge en Toi contre les incitations des diables.</w:t>
      </w:r>
    </w:p>
    <w:p>
      <w:pPr>
        <w:spacing w:after="120"/>
      </w:pPr>
      <w:r>
        <w:rPr>
          <w:i/>
          <w:iCs/>
          <w:sz w:val="22"/>
          <w:szCs w:val="22"/>
        </w:rPr>
        <w:t xml:space="preserve">Source : al-Mu'minûn 23:97</w:t>
      </w:r>
    </w:p>
    <w:p>
      <w:pPr>
        <w:spacing w:after="120"/>
      </w:pPr>
      <w:r>
        <w:rPr>
          <w:i/>
          <w:iCs/>
          <w:sz w:val="22"/>
          <w:szCs w:val="22"/>
        </w:rPr>
        <w:t xml:space="preserve">Quand : Contre les soufflets du diable qui poussent à parler des autres — c'est lui qui « sème la discorde » (17:53).</w:t>
      </w:r>
    </w:p>
    <w:p>
      <w:pPr>
        <w:pStyle w:val="Heading2"/>
        <w:spacing w:before="300"/>
      </w:pPr>
      <w:r>
        <w:rPr>
          <w:b/>
          <w:bCs/>
          <w:sz w:val="26"/>
          <w:szCs w:val="26"/>
        </w:rPr>
        <w:t xml:space="preserve">Le vocabulaire de la langue</w:t>
      </w:r>
    </w:p>
    <w:p>
      <w:pPr>
        <w:spacing w:after="120"/>
      </w:pPr>
      <w:r>
        <w:rPr>
          <w:i/>
          <w:iCs/>
          <w:sz w:val="22"/>
          <w:szCs w:val="22"/>
        </w:rPr>
        <w:t xml:space="preserve">Les mots-clés arabes pour distinguer finement les fléaux et leurs remèdes.</w:t>
      </w:r>
    </w:p>
    <w:p>
      <w:pPr>
        <w:pStyle w:val="Heading3"/>
        <w:spacing w:before="200"/>
      </w:pPr>
      <w:r>
        <w:rPr>
          <w:b/>
          <w:bCs/>
          <w:sz w:val="22"/>
          <w:szCs w:val="22"/>
        </w:rPr>
        <w:t xml:space="preserve">1. ghiba</w:t>
      </w:r>
    </w:p>
    <w:p>
      <w:pPr>
        <w:pStyle w:val="Heading3"/>
        <w:spacing w:before="200"/>
      </w:pPr>
      <w:r>
        <w:rPr>
          <w:b/>
          <w:bCs/>
          <w:sz w:val="22"/>
          <w:szCs w:val="22"/>
        </w:rPr>
        <w:t xml:space="preserve">2. namima</w:t>
      </w:r>
    </w:p>
    <w:p>
      <w:pPr>
        <w:pStyle w:val="Heading3"/>
        <w:spacing w:before="200"/>
      </w:pPr>
      <w:r>
        <w:rPr>
          <w:b/>
          <w:bCs/>
          <w:sz w:val="22"/>
          <w:szCs w:val="22"/>
        </w:rPr>
        <w:t xml:space="preserve">3. buhtan</w:t>
      </w:r>
    </w:p>
    <w:p>
      <w:pPr>
        <w:pStyle w:val="Heading3"/>
        <w:spacing w:before="200"/>
      </w:pPr>
      <w:r>
        <w:rPr>
          <w:b/>
          <w:bCs/>
          <w:sz w:val="22"/>
          <w:szCs w:val="22"/>
        </w:rPr>
        <w:t xml:space="preserve">4. hifz_lisan</w:t>
      </w:r>
    </w:p>
    <w:p>
      <w:pPr>
        <w:pStyle w:val="Heading3"/>
        <w:spacing w:before="200"/>
      </w:pPr>
      <w:r>
        <w:rPr>
          <w:b/>
          <w:bCs/>
          <w:sz w:val="22"/>
          <w:szCs w:val="22"/>
        </w:rPr>
        <w:t xml:space="preserve">5. laghw</w:t>
      </w:r>
    </w:p>
    <w:p>
      <w:pPr>
        <w:pStyle w:val="Heading3"/>
        <w:spacing w:before="200"/>
      </w:pPr>
      <w:r>
        <w:rPr>
          <w:b/>
          <w:bCs/>
          <w:sz w:val="22"/>
          <w:szCs w:val="22"/>
        </w:rPr>
        <w:t xml:space="preserve">6. fudul_kalam</w:t>
      </w:r>
    </w:p>
    <w:p>
      <w:pPr>
        <w:pStyle w:val="Heading3"/>
        <w:spacing w:before="200"/>
      </w:pPr>
      <w:r>
        <w:rPr>
          <w:b/>
          <w:bCs/>
          <w:sz w:val="22"/>
          <w:szCs w:val="22"/>
        </w:rPr>
        <w:t xml:space="preserve">7. samt</w:t>
      </w:r>
    </w:p>
    <w:p>
      <w:pPr>
        <w:pStyle w:val="Heading3"/>
        <w:spacing w:before="200"/>
      </w:pPr>
      <w:r>
        <w:rPr>
          <w:b/>
          <w:bCs/>
          <w:sz w:val="22"/>
          <w:szCs w:val="22"/>
        </w:rPr>
        <w:t xml:space="preserve">8. lamz</w:t>
      </w:r>
    </w:p>
    <w:p>
      <w:pPr>
        <w:pStyle w:val="Heading3"/>
        <w:spacing w:before="200"/>
      </w:pPr>
      <w:r>
        <w:rPr>
          <w:b/>
          <w:bCs/>
          <w:sz w:val="22"/>
          <w:szCs w:val="22"/>
        </w:rPr>
        <w:t xml:space="preserve">9. hamz</w:t>
      </w:r>
    </w:p>
    <w:p>
      <w:pPr>
        <w:pStyle w:val="Heading3"/>
        <w:spacing w:before="200"/>
      </w:pPr>
      <w:r>
        <w:rPr>
          <w:b/>
          <w:bCs/>
          <w:sz w:val="22"/>
          <w:szCs w:val="22"/>
        </w:rPr>
        <w:t xml:space="preserve">10. sukhriya</w:t>
      </w:r>
    </w:p>
    <w:p>
      <w:pPr>
        <w:pStyle w:val="Heading3"/>
        <w:spacing w:before="200"/>
      </w:pPr>
      <w:r>
        <w:rPr>
          <w:b/>
          <w:bCs/>
          <w:sz w:val="22"/>
          <w:szCs w:val="22"/>
        </w:rPr>
        <w:t xml:space="preserve">11. kalima_tayyiba</w:t>
      </w:r>
    </w:p>
    <w:p>
      <w:pPr>
        <w:pStyle w:val="Heading3"/>
        <w:spacing w:before="200"/>
      </w:pPr>
      <w:r>
        <w:rPr>
          <w:b/>
          <w:bCs/>
          <w:sz w:val="22"/>
          <w:szCs w:val="22"/>
        </w:rPr>
        <w:t xml:space="preserve">12. qawl_sadid</w:t>
      </w:r>
    </w:p>
    <w:p>
      <w:pPr>
        <w:pStyle w:val="Heading3"/>
        <w:spacing w:before="200"/>
      </w:pPr>
      <w:r>
        <w:rPr>
          <w:b/>
          <w:bCs/>
          <w:sz w:val="22"/>
          <w:szCs w:val="22"/>
        </w:rPr>
        <w:t xml:space="preserve">13. husn_dhann</w:t>
      </w:r>
    </w:p>
    <w:p>
      <w:pPr>
        <w:pStyle w:val="Heading3"/>
        <w:spacing w:before="200"/>
      </w:pPr>
      <w:r>
        <w:rPr>
          <w:b/>
          <w:bCs/>
          <w:sz w:val="22"/>
          <w:szCs w:val="22"/>
        </w:rPr>
        <w:t xml:space="preserve">14. ird</w:t>
      </w:r>
    </w:p>
    <w:p>
      <w:pPr>
        <w:pStyle w:val="Heading3"/>
        <w:spacing w:before="200"/>
      </w:pPr>
      <w:r>
        <w:rPr>
          <w:b/>
          <w:bCs/>
          <w:sz w:val="22"/>
          <w:szCs w:val="22"/>
        </w:rPr>
        <w:t xml:space="preserve">15. tabayyun</w:t>
      </w:r>
    </w:p>
    <w:p>
      <w:pPr>
        <w:pStyle w:val="Heading3"/>
        <w:spacing w:before="200"/>
      </w:pPr>
      <w:r>
        <w:rPr>
          <w:b/>
          <w:bCs/>
          <w:sz w:val="22"/>
          <w:szCs w:val="22"/>
        </w:rPr>
        <w:t xml:space="preserve">16. kaffarat_majlis</w:t>
      </w:r>
    </w:p>
    <w:p>
      <w:pPr>
        <w:pStyle w:val="Heading2"/>
        <w:spacing w:before="300"/>
      </w:pPr>
      <w:r>
        <w:rPr>
          <w:b/>
          <w:bCs/>
          <w:sz w:val="26"/>
          <w:szCs w:val="26"/>
        </w:rPr>
        <w:t xml:space="preserve">Pour aller plus loin</w:t>
      </w:r>
    </w:p>
    <w:p>
      <w:pPr>
        <w:spacing w:after="120"/>
      </w:pPr>
      <w:r>
        <w:rPr>
          <w:i/>
          <w:iCs/>
          <w:sz w:val="22"/>
          <w:szCs w:val="22"/>
        </w:rPr>
        <w:t xml:space="preserve">Les œuvres classiques de référence sur la langue et la médisance.</w:t>
      </w:r>
    </w:p>
    <w:p>
      <w:pPr>
        <w:pStyle w:val="Heading3"/>
        <w:spacing w:before="200"/>
      </w:pPr>
      <w:r>
        <w:rPr>
          <w:b/>
          <w:bCs/>
          <w:sz w:val="22"/>
          <w:szCs w:val="22"/>
        </w:rPr>
        <w:t xml:space="preserve">1. ghazali</w:t>
      </w:r>
    </w:p>
    <w:p>
      <w:pPr>
        <w:spacing w:after="120"/>
      </w:pPr>
      <w:r>
        <w:rPr>
          <w:sz w:val="22"/>
          <w:szCs w:val="22"/>
        </w:rPr>
        <w:t xml:space="preserve">La référence sur la langue. Ghazâlî recense vingt fléaux, du plus discret (parler de ce qui ne nous regarde pas) au plus grave (médisance, colportage). Pour chacun : la définition, le ressort dans l'âme, ses manifestations, et le remède. Toute la porte suit son plan.</w:t>
      </w:r>
    </w:p>
    <w:p>
      <w:pPr>
        <w:pStyle w:val="Heading3"/>
        <w:spacing w:before="200"/>
      </w:pPr>
      <w:r>
        <w:rPr>
          <w:b/>
          <w:bCs/>
          <w:sz w:val="22"/>
          <w:szCs w:val="22"/>
        </w:rPr>
        <w:t xml:space="preserve">2. nawawi</w:t>
      </w:r>
    </w:p>
    <w:p>
      <w:pPr>
        <w:spacing w:after="120"/>
      </w:pPr>
      <w:r>
        <w:rPr>
          <w:sz w:val="22"/>
          <w:szCs w:val="22"/>
        </w:rPr>
        <w:t xml:space="preserve">Référence pratique majeure. an-Nawawî codifie les règles de la langue : ce qu'est la ghîba, sa gravité, et surtout les six cas où parler d'autrui est légitime (mise en garde, justice, conseil…). Indispensable pour éviter aussi bien la médisance que le scrupule excessif.</w:t>
      </w:r>
    </w:p>
    <w:p>
      <w:pPr>
        <w:pStyle w:val="Heading3"/>
        <w:spacing w:before="200"/>
      </w:pPr>
      <w:r>
        <w:rPr>
          <w:b/>
          <w:bCs/>
          <w:sz w:val="22"/>
          <w:szCs w:val="22"/>
        </w:rPr>
        <w:t xml:space="preserve">3. ibn_abi_dunya</w:t>
      </w:r>
    </w:p>
    <w:p>
      <w:pPr>
        <w:spacing w:after="120"/>
      </w:pPr>
      <w:r>
        <w:rPr>
          <w:sz w:val="22"/>
          <w:szCs w:val="22"/>
        </w:rPr>
        <w:t xml:space="preserve">Un ouvrage entier consacré au silence et à la discipline de la parole. Recueil de versets, de hadiths et de paroles des anciens sur la garde de la langue — la source classique dédiée au sujet.</w:t>
      </w:r>
    </w:p>
    <w:p>
      <w:pPr>
        <w:pStyle w:val="Heading3"/>
        <w:spacing w:before="200"/>
      </w:pPr>
      <w:r>
        <w:rPr>
          <w:b/>
          <w:bCs/>
          <w:sz w:val="22"/>
          <w:szCs w:val="22"/>
        </w:rPr>
        <w:t xml:space="preserve">4. ibn_rajab</w:t>
      </w:r>
    </w:p>
    <w:p>
      <w:pPr>
        <w:spacing w:after="120"/>
      </w:pPr>
      <w:r>
        <w:rPr>
          <w:sz w:val="22"/>
          <w:szCs w:val="22"/>
        </w:rPr>
        <w:t xml:space="preserve">Son commentaire du hadith « qu'il dise du bien ou se taise » et de « kuff 'alayka lisânak » est une référence : il y relie la maîtrise de la langue à la santé du cœur et à la sincérité de la foi.</w:t>
      </w:r>
    </w:p>
    <w:p>
      <w:pPr>
        <w:pStyle w:val="Heading3"/>
        <w:spacing w:before="200"/>
      </w:pPr>
      <w:r>
        <w:rPr>
          <w:b/>
          <w:bCs/>
          <w:sz w:val="22"/>
          <w:szCs w:val="22"/>
        </w:rPr>
        <w:t xml:space="preserve">5. ibn_taymiyya</w:t>
      </w:r>
    </w:p>
    <w:p>
      <w:pPr>
        <w:spacing w:after="120"/>
      </w:pPr>
      <w:r>
        <w:rPr>
          <w:sz w:val="22"/>
          <w:szCs w:val="22"/>
        </w:rPr>
        <w:t xml:space="preserve">Référence pour le fiqh de la réparation : il soutient que si la médisance n'est pas parvenue à la personne, on ne l'informe pas — on fait plutôt du'â pour elle et l'on dit du bien d'elle. L'un des deux grands avis sur la kaffâra de la ghîba.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2026-06-07T17:25:50.863Z</dcterms:created>
  <dcterms:modified xsi:type="dcterms:W3CDTF">2026-06-07T17:25:50.863Z</dcterms:modified>
</cp:coreProperties>
</file>

<file path=docProps/custom.xml><?xml version="1.0" encoding="utf-8"?>
<Properties xmlns="http://schemas.openxmlformats.org/officeDocument/2006/custom-properties" xmlns:vt="http://schemas.openxmlformats.org/officeDocument/2006/docPropsVTypes"/>
</file>