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28"/>
          <w:szCs w:val="28"/>
        </w:rPr>
        <w:t xml:space="preserve">SPEC — Corrections Audit Islamique Dhuhr</w:t>
      </w:r>
    </w:p>
    <w:p>
      <w:pPr>
        <w:spacing w:after="100"/>
      </w:pPr>
      <w:r>
        <w:rPr>
          <w:rFonts w:ascii="Arial" w:cs="Arial" w:eastAsia="Arial" w:hAnsi="Arial"/>
          <w:color w:val="666666"/>
          <w:sz w:val="20"/>
          <w:szCs w:val="20"/>
        </w:rPr>
        <w:t xml:space="preserve">Fichier source : AUDIT-DHUHR-RECITS.docx  |  Généré : 23/06/2026</w:t>
      </w:r>
    </w:p>
    <w:p>
      <w:pPr>
        <w:spacing w:after="100"/>
      </w:pPr>
      <w:r>
        <w:rPr>
          <w:rFonts w:ascii="Arial" w:cs="Arial" w:eastAsia="Arial" w:hAnsi="Arial"/>
          <w:sz w:val="20"/>
          <w:szCs w:val="20"/>
        </w:rPr>
        <w:t xml:space="preserve">Ce SPEC liste les 14 corrections à appliquer dans waqt_dhuhr.json avant validation par l'imam. Chaque correction inclut le texte AVANT et le texte APRÈS à substituer.</w:t>
      </w:r>
    </w:p>
    <w:p>
      <w:pPr>
        <w:pBdr>
          <w:bottom w:val="single" w:color="CCCCCC" w:sz="4" w:space="1"/>
        </w:pBdr>
        <w:spacing w:after="200" w:before="200"/>
      </w:pPr>
    </w:p>
    <w:p>
      <w:pPr>
        <w:pStyle w:val="Heading2"/>
      </w:pPr>
      <w:r>
        <w:rPr>
          <w:rFonts w:ascii="Arial" w:cs="Arial" w:eastAsia="Arial" w:hAnsi="Arial"/>
          <w:b/>
          <w:bCs/>
          <w:sz w:val="24"/>
          <w:szCs w:val="24"/>
        </w:rPr>
        <w:t xml:space="preserve">TABLEAU RÉCAPITULATIF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Récit</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Problème</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LANGUE-009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 récit sur Ibn al-Mubârak présente un dialogue détaillé sans label de précauti...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PARENTS-ligne2851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Hadith Abû Dâwûd 2528, classé hasan par certains. La formulation populaire « Par...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PARENTS-ligne3137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Hadith sur la portée de l'invocation des parents, Ibn Mâja 3662, classification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CONJOINT-ligne3959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source indique « hadith d'Abû ad-Dardâ' rapporté par al-Bukhârî sur l'éducati...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COLLÈGUES-025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 hadith « la hasad mange les hasanât comme le feu mange le bois sec » est prés...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COLLÈGUES-029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 hadith « Le meilleur d'entre vous est celui qui apprend et qui enseigne » est...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COLLÈGUES-032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L'imam dit dans le récit que le riyâʾ est appelé « la petite shirk (chirk akhfâ)...</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OFFENSE-014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 hadith « Aucune gorgée n'est plus belle qu'une gorgée de colère qu'un servite...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OFFENSE-020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 hadith « Quiconque pardonne quand il a le pouvoir de se venger, Allâh ajoute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OFFENSE-025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 récit cite « un hadith » : « Ne portez pas la haine de vos ancêtres... La hai...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CORRECTION_CRITIQUE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INCONNUS-019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morale cite : « Donne, et qu'Allâh juge ce que l'autre fait avec ce que tu lu...</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SECRETS-005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 récit présente Ibn Masʿûd emportant des « secrets prophétiques » dans sa tomb...</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SECRETS-015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 texte cite entre guillemets : « La parole donnée engage. Le serment prononcé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SECRETS-017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Une parole est attribuée directement au Prophète ﷺ : « Si vous aviez su cela en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CORRECTION</w:t>
            </w:r>
          </w:p>
        </w:tc>
      </w:tr>
    </w:tbl>
    <w:p>
      <w:pPr>
        <w:spacing w:after="200"/>
      </w:pPr>
    </w:p>
    <w:p>
      <w:pPr>
        <w:pBdr>
          <w:bottom w:val="single" w:color="CCCCCC" w:sz="4" w:space="1"/>
        </w:pBdr>
        <w:spacing w:after="200" w:before="200"/>
      </w:pPr>
    </w:p>
    <w:p>
      <w:pPr>
        <w:pStyle w:val="Heading2"/>
      </w:pPr>
      <w:r>
        <w:rPr>
          <w:rFonts w:ascii="Arial" w:cs="Arial" w:eastAsia="Arial" w:hAnsi="Arial"/>
          <w:b/>
          <w:bCs/>
          <w:sz w:val="24"/>
          <w:szCs w:val="24"/>
        </w:rPr>
        <w:t xml:space="preserve">CORRECTIONS DÉTAILLÉES</w:t>
      </w:r>
    </w:p>
    <w:p>
      <w:pPr>
        <w:spacing w:after="100"/>
      </w:pPr>
    </w:p>
    <w:p>
      <w:pPr>
        <w:spacing w:after="80" w:before="200"/>
      </w:pPr>
      <w:r>
        <w:rPr>
          <w:rFonts w:ascii="Arial" w:cs="Arial" w:eastAsia="Arial" w:hAnsi="Arial"/>
          <w:b/>
          <w:bCs/>
          <w:color w:val="2E75B6"/>
          <w:sz w:val="22"/>
          <w:szCs w:val="22"/>
        </w:rPr>
        <w:t xml:space="preserve">1. LANGUE-009 — Ibn al-Mubârak — dialogue reconstitué sans label</w:t>
      </w:r>
    </w:p>
    <w:p>
      <w:pPr>
        <w:spacing w:after="60" w:before="60"/>
      </w:pPr>
      <w:r>
        <w:rPr>
          <w:rFonts w:ascii="Arial" w:cs="Arial" w:eastAsia="Arial" w:hAnsi="Arial"/>
          <w:b/>
          <w:bCs/>
          <w:color w:val="2E75B6"/>
          <w:sz w:val="18"/>
          <w:szCs w:val="18"/>
        </w:rPr>
        <w:t xml:space="preserve">TYPE : LABEL</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Le récit sur Ibn al-Mubârak présente un dialogue détaillé sans label de précaution. La source (Siyar Aʿlâm, Dhahabi) est correctement citée mais le dialogue est une reconstitution libre.</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*Source : Histoire rapportée dans Siyar Aʿlâm an-Nubalâʾ (Dhahabi) et dans les biographies d'ʿAbdullâh ibn al-Mubârak. À vérifier précision exacte des termes en audit final.*</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*Source : Histoire rapportée dans Siyar Aʿlâm an-Nubalâʾ (Dhahabi) et dans les biographies d'ʿAbdullâh ibn al-Mubârak. Variantes multiples. Précisions de dialogue à confirmer. À présenter comme récit de tradition, non comme fait historique certifié. À confirmer par l'imam.*</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2. PARENTS-ligne2851 — Hadith « Paradis aux pieds des mères » — label insuffisant</w:t>
      </w:r>
    </w:p>
    <w:p>
      <w:pPr>
        <w:spacing w:after="60" w:before="60"/>
      </w:pPr>
      <w:r>
        <w:rPr>
          <w:rFonts w:ascii="Arial" w:cs="Arial" w:eastAsia="Arial" w:hAnsi="Arial"/>
          <w:b/>
          <w:bCs/>
          <w:color w:val="2E75B6"/>
          <w:sz w:val="18"/>
          <w:szCs w:val="18"/>
        </w:rPr>
        <w:t xml:space="preserve">TYPE : LABEL</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Hadith Abû Dâwûd 2528, classé hasan par certains. La formulation populaire « Paradis sous les pieds des mères » a une chaîne débattue. Le label actuel ne mentionne pas la nécessité de confirmation par l'imam.</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*Source : Hadith rapporté par Abû Dâwûd (Sunan, n° 2528) et autres selon Muʿâwiya ibn Jâhima, classé hasan par certains. Hadith célèbre sur le Paradis aux pieds des mères.*</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*Source : Hadith rapporté par Abû Dâwûd (Sunan, n° 2528) et autres selon Muʿâwiya ibn Jâhima, classé hasan par certains savants, da'if par d'autres. Hadith célèbre sur le Paradis aux pieds des mères. À confirmer par l'imam avant utilisation.*</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3. PARENTS-ligne3137 — Hadith Ibn Mâja 3662 — classification variable sans label imam</w:t>
      </w:r>
    </w:p>
    <w:p>
      <w:pPr>
        <w:spacing w:after="60" w:before="60"/>
      </w:pPr>
      <w:r>
        <w:rPr>
          <w:rFonts w:ascii="Arial" w:cs="Arial" w:eastAsia="Arial" w:hAnsi="Arial"/>
          <w:b/>
          <w:bCs/>
          <w:color w:val="2E75B6"/>
          <w:sz w:val="18"/>
          <w:szCs w:val="18"/>
        </w:rPr>
        <w:t xml:space="preserve">TYPE : LABEL</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Hadith sur la portée de l'invocation des parents, Ibn Mâja 3662, classification variable. Le texte indique « esprit conforme à plusieurs hadiths sahih » mais n'invite pas à confirmer avec l'imam.</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*Source : Hadith rapporté par Ibn Mâja (Sunan, n° 3662) et al-Bayhaqî selon Anas ibn Mâlik, sur la portée de l'invocation des parents. Classification variable selon les savants. Esprit conforme à plusieurs hadiths sahih.*</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*Source : Hadith rapporté par Ibn Mâja (Sunan, n° 3662) et al-Bayhaqî selon Anas ibn Mâlik, sur la portée de l'invocation des parents. Classification variable selon les savants. Esprit conforme à plusieurs hadiths sahih. À confirmer par l'imam avant utilisation.*</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4. CONJOINT-ligne3959 — Attribution hadith Abû ad-Dardâ' à Bukhârî — à vérifier</w:t>
      </w:r>
    </w:p>
    <w:p>
      <w:pPr>
        <w:spacing w:after="60" w:before="60"/>
      </w:pPr>
      <w:r>
        <w:rPr>
          <w:rFonts w:ascii="Arial" w:cs="Arial" w:eastAsia="Arial" w:hAnsi="Arial"/>
          <w:b/>
          <w:bCs/>
          <w:color w:val="C55A11"/>
          <w:sz w:val="18"/>
          <w:szCs w:val="18"/>
        </w:rPr>
        <w:t xml:space="preserve">TYPE : CORRECTION</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La source indique « hadith d'Abû ad-Dardâ' rapporté par al-Bukhârî sur l'éducation des enfants ». Ce hadith ne figure pas clairement dans le Sahih de Bukhârî sous cette attribution. À vérifier avant publication.</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*Source : Récit basé sur le hadith d'Abû ad-Dardâ' rapporté par al-Bukhârî sur l'éducation des enfants, étendu au contexte du désaccord éducatif entre conjoints. À confirmer précisément en audit final.*</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*Source : Récit basé sur un principe éducatif islamique attribué à Abû ad-Dardâ'. L'attribution précise à al-Bukhârî est à vérifier — ce hadith ne figure pas clairement dans le Sahih sous ce formulé. À confirmer par l'imam avant utilisation. En attendant, présenter comme principe de tradition plutôt que comme hadith bukhârien certifié.*</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5. COLLÈGUES-025 — Hadith hasad/feu — chaîne faible présentée trop fermement</w:t>
      </w:r>
    </w:p>
    <w:p>
      <w:pPr>
        <w:spacing w:after="60" w:before="60"/>
      </w:pPr>
      <w:r>
        <w:rPr>
          <w:rFonts w:ascii="Arial" w:cs="Arial" w:eastAsia="Arial" w:hAnsi="Arial"/>
          <w:b/>
          <w:bCs/>
          <w:color w:val="C55A11"/>
          <w:sz w:val="18"/>
          <w:szCs w:val="18"/>
        </w:rPr>
        <w:t xml:space="preserve">TYPE : CORRECTION</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Le hadith « la hasad mange les hasanât comme le feu mange le bois sec » est présenté dans le corps du récit comme une parole prophétique ferme. Sa chaîne est faible (ibn Mâjah, classé da'if par certains savants).</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Il pensa au hadith : "La hasad mange les hasanât comme le feu mange le bois sec."</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Il pensa à une parole connue dans la tradition : "La hasad dévore les hasanât comme le feu dévore le bois sec." (parole rapportée dans plusieurs collections, à confirmer par l'imam sur son degré exact)</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6. COLLÈGUES-029 — Hadith apprendre/enseigner — extrapolé hors contexte coranique</w:t>
      </w:r>
    </w:p>
    <w:p>
      <w:pPr>
        <w:spacing w:after="60" w:before="60"/>
      </w:pPr>
      <w:r>
        <w:rPr>
          <w:rFonts w:ascii="Arial" w:cs="Arial" w:eastAsia="Arial" w:hAnsi="Arial"/>
          <w:b/>
          <w:bCs/>
          <w:color w:val="C55A11"/>
          <w:sz w:val="18"/>
          <w:szCs w:val="18"/>
        </w:rPr>
        <w:t xml:space="preserve">TYPE : CORRECTION</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Le hadith « Le meilleur d'entre vous est celui qui apprend et qui enseigne » est cité sans préciser qu'il concerne originellement le Coran (Bukhârî 5027 : « le meilleur d'entre vous est celui qui apprend le Coran et l'enseigne »). L'extrapolation à tout savoir professionnel est libre.</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Il se rappelait le hadith : "Le meilleur d'entre vous est celui qui apprend et qui enseigne."</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Il se rappelait le hadith du Prophète ﷺ : "Le meilleur d'entre vous est celui qui apprend le Coran et l'enseigne." (Bukhârî n° 5027) — et il en élargissait le principe à tout savoir utile transmis sincèrement.</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7. COLLÈGUES-032 — chirk akhfâ → terme non standard, remplacer par shirk asghar</w:t>
      </w:r>
    </w:p>
    <w:p>
      <w:pPr>
        <w:spacing w:after="60" w:before="60"/>
      </w:pPr>
      <w:r>
        <w:rPr>
          <w:rFonts w:ascii="Arial" w:cs="Arial" w:eastAsia="Arial" w:hAnsi="Arial"/>
          <w:b/>
          <w:bCs/>
          <w:color w:val="C55A11"/>
          <w:sz w:val="18"/>
          <w:szCs w:val="18"/>
        </w:rPr>
        <w:t xml:space="preserve">TYPE : CORRECTION</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L'imam dit dans le récit que le riyâʾ est appelé « la petite shirk (chirk akhfâ) ». Le terme standard dans la tradition sunnite est shirk asghar (petite shirk) ou shirk khafî (shirk caché). Le terme chirk akhfâ est moins attesté dans ce sens.</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Il n'aime pas les actes mêlés de riyâʾ. Le riyâʾ est même appelé 'la petite shirk' (chirk akhfâ) dans certains hadiths.</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Il n'aime pas les actes mêlés de riyâʾ. Le riyâʾ est même appelé 'la petite shirk' (shirk asghar) ou 'shirk caché' (shirk khafî) dans certains hadiths.</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8. OFFENSE-014 — Hadith Ahmad — gorgée de colère — classification variable présentée trop fermement</w:t>
      </w:r>
    </w:p>
    <w:p>
      <w:pPr>
        <w:spacing w:after="60" w:before="60"/>
      </w:pPr>
      <w:r>
        <w:rPr>
          <w:rFonts w:ascii="Arial" w:cs="Arial" w:eastAsia="Arial" w:hAnsi="Arial"/>
          <w:b/>
          <w:bCs/>
          <w:color w:val="C55A11"/>
          <w:sz w:val="18"/>
          <w:szCs w:val="18"/>
        </w:rPr>
        <w:t xml:space="preserve">TYPE : CORRECTION</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Le hadith « Aucune gorgée n'est plus belle qu'une gorgée de colère qu'un serviteur d'Allâh ravale par espoir de Sa face » est rapporté par Ahmad selon Anas. Classification variable. Il est présenté avec l'introduction standard « Le Messager d'Allâh ﷺ a dit » sans mention de la classification incertaine.</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Le Messager d'Allâh ﷺ a dit, dans une parole rapportée par Anas ibn Mâlik :</w:t>
      </w:r>
    </w:p>
    <w:p>
      <w:pPr>
        <w:spacing w:after="60"/>
        <w:ind w:left="360"/>
      </w:pPr>
      <w:r>
        <w:rPr>
          <w:rFonts w:ascii="Courier New" w:cs="Courier New" w:eastAsia="Courier New" w:hAnsi="Courier New"/>
          <w:color w:val="1F5C99"/>
          <w:sz w:val="18"/>
          <w:szCs w:val="18"/>
        </w:rPr>
        <w:t xml:space="preserve">« Aucune gorgée — aucune chose avalée — n'est plus belle aux yeux d'Allâh qu'une gorgée de colère qu'un serviteur d'Allâh ravale par espoir de Sa face. »</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Dans une parole rapportée par Anas ibn Mâlik et transmise notamment par l'imam Ahmad (classification variable, à confirmer) :</w:t>
      </w:r>
    </w:p>
    <w:p>
      <w:pPr>
        <w:spacing w:after="60"/>
        <w:ind w:left="360"/>
      </w:pPr>
      <w:r>
        <w:rPr>
          <w:rFonts w:ascii="Courier New" w:cs="Courier New" w:eastAsia="Courier New" w:hAnsi="Courier New"/>
          <w:color w:val="1F5C99"/>
          <w:sz w:val="18"/>
          <w:szCs w:val="18"/>
        </w:rPr>
        <w:t xml:space="preserve">« Aucune gorgée — aucune chose avalée — n'est plus belle aux yeux d'Allâh qu'une gorgée de colère qu'un serviteur d'Allâh ravale par espoir de Sa face. »</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9. OFFENSE-020 — Muslim 2587 — numérotation à vérifier</w:t>
      </w:r>
    </w:p>
    <w:p>
      <w:pPr>
        <w:spacing w:after="60" w:before="60"/>
      </w:pPr>
      <w:r>
        <w:rPr>
          <w:rFonts w:ascii="Arial" w:cs="Arial" w:eastAsia="Arial" w:hAnsi="Arial"/>
          <w:b/>
          <w:bCs/>
          <w:color w:val="2E75B6"/>
          <w:sz w:val="18"/>
          <w:szCs w:val="18"/>
        </w:rPr>
        <w:t xml:space="preserve">TYPE : LABEL</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Le hadith « Quiconque pardonne quand il a le pouvoir de se venger, Allâh ajoute à son honneur » est attribué à Muslim 2587. Muslim 2587 concerne plus précisément le triple hadith (sadaqa, pardon, humilité). La numérotation exacte mérite confirmation.</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*Source : Hadith rapporté par Muslim (Sahih, n° 2587) selon Abû Hurayra concernant la dignité de l'opprimé qui ne se venge pas. Hadith authentique.*</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*Source : Hadith rapporté par Muslim (Sahih, selon Abû Hurayra) concernant la dignité de l'opprimé qui ne se venge pas — numérotation exacte à confirmer (2587 ou autre). Hadith authentique dans sa substance. À confirmer par l'imam.*</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10. OFFENSE-025 — Hadith inventé — haine héritée / 7 générations — supprimer référence prophétique</w:t>
      </w:r>
    </w:p>
    <w:p>
      <w:pPr>
        <w:spacing w:after="60" w:before="60"/>
      </w:pPr>
      <w:r>
        <w:rPr>
          <w:rFonts w:ascii="Arial" w:cs="Arial" w:eastAsia="Arial" w:hAnsi="Arial"/>
          <w:b/>
          <w:bCs/>
          <w:color w:val="C00000"/>
          <w:sz w:val="18"/>
          <w:szCs w:val="18"/>
        </w:rPr>
        <w:t xml:space="preserve">TYPE : CORRECTION_CRITIQUE</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Le récit cite « un hadith » : « Ne portez pas la haine de vos ancêtres... La haine héritée empoisonne sept générations en avant. » Cette formulation n'est identifiable dans aucun corpus hadithique authentique. C'est une formulation apocryphe présentée comme hadith.</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un hadith qu'il n'avait jamais entendu. Le hadith disait, en substance : « Ne portez pas la haine de vos ancêtres. Chaque âme ne porte que ses propres péchés. Et la haine héritée empoisonne sept générations en avant. »</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une parole de sagesse qui lui parlait profondément : « Ne portez pas la haine de vos ancêtres. Chaque âme ne porte que ses propres péchés. » (principe conforme au Coran — sourate Fâtir 35:18 : "Nulle âme ne portera le fardeau d'une autre" — mais la formulation sur les "sept générations" n'est pas un hadith établi et doit être présentée comme réflexion sapientielle, non comme parole prophétique)</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11. INCONNUS-019 — Formule sur l'usage du don — hadith implicite à reformuler</w:t>
      </w:r>
    </w:p>
    <w:p>
      <w:pPr>
        <w:spacing w:after="60" w:before="60"/>
      </w:pPr>
      <w:r>
        <w:rPr>
          <w:rFonts w:ascii="Arial" w:cs="Arial" w:eastAsia="Arial" w:hAnsi="Arial"/>
          <w:b/>
          <w:bCs/>
          <w:color w:val="C55A11"/>
          <w:sz w:val="18"/>
          <w:szCs w:val="18"/>
        </w:rPr>
        <w:t xml:space="preserve">TYPE : CORRECTION</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La morale cite : « Donne, et qu'Allâh juge ce que l'autre fait avec ce que tu lui as donné. Toi, ton compte s'inscrit dans le don. » Cette formulation circule comme hadith mais n'est pas textuellement identifiable. Le principe est juste fiqhiquement mais ne doit pas être présenté comme citation prophétique.</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Il pensa au hadith : "Donne, et qu'Allâh juge ce que l'autre fait avec ce que tu lui as donné. Toi, ton compte s'inscrit dans le don. Pas dans son usage."</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Il pensa à ce principe islamique établi : le donateur est récompensé pour son intention sincère, indépendamment de l'usage que fait le bénéficiaire du don — principe conforme à plusieurs hadiths sahih (cf. Bukhârî n° 1421 sur la sadaqa à l'insu). Ce n'est pas une citation prophétique textuelle directe, mais un principe fiqhi solide.</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12. SECRETS-005 — Récit Ibn Masʿûd — label de précaution manquant</w:t>
      </w:r>
    </w:p>
    <w:p>
      <w:pPr>
        <w:spacing w:after="60" w:before="60"/>
      </w:pPr>
      <w:r>
        <w:rPr>
          <w:rFonts w:ascii="Arial" w:cs="Arial" w:eastAsia="Arial" w:hAnsi="Arial"/>
          <w:b/>
          <w:bCs/>
          <w:color w:val="2E75B6"/>
          <w:sz w:val="18"/>
          <w:szCs w:val="18"/>
        </w:rPr>
        <w:t xml:space="preserve">TYPE : LABEL</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Le récit présente Ibn Masʿûd emportant des « secrets prophétiques » dans sa tombe. Le principe est plausible historiquement mais le récit est une construction narrative. Aucun label de précaution n'est présent dans la source déclarée.</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*Source : Récit traditionnel sur ʿAbdullâh ibn Masʿûd, Compagnon de premier rang. Variantes dans les recueils de hadiths et la littérature de manâqib. Le principe (garder un secret confié par le Prophète ﷺ jusqu'à la mort) est conforme à plusieurs récits authentiques sur le rapport des Compagnons aux confidences prophétiques.*</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*Source : Récit traditionnel sur ʿAbdullâh ibn Masʿûd, Compagnon de premier rang. Variantes dans les recueils de hadiths et la littérature de manâqib. Le principe (garder un secret confié par le Prophète ﷺ jusqu'à la mort) est conforme à plusieurs récits authentiques. Les dialogues précis sont une reconstitution littéraire. À présenter comme récit de tradition, non comme fait historique certifié. À confirmer par l'imam.*</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13. SECRETS-015 — Citation libre présentée comme hadith entre guillemets</w:t>
      </w:r>
    </w:p>
    <w:p>
      <w:pPr>
        <w:spacing w:after="60" w:before="60"/>
      </w:pPr>
      <w:r>
        <w:rPr>
          <w:rFonts w:ascii="Arial" w:cs="Arial" w:eastAsia="Arial" w:hAnsi="Arial"/>
          <w:b/>
          <w:bCs/>
          <w:color w:val="C55A11"/>
          <w:sz w:val="18"/>
          <w:szCs w:val="18"/>
        </w:rPr>
        <w:t xml:space="preserve">TYPE : CORRECTION</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Le texte cite entre guillemets : « La parole donnée engage. Le serment prononcé lie. » Cette formulation n'est pas un hadith identifiable textellement. Elle est présentée comme telle entre guillemets prophétiques.</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Un hadith célèbre rapporte : « La parole donnée engage. Le serment prononcé lie. »</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Les savants résument par ce principe : la parole donnée engage, et le serment prononcé lie — fondé sur plusieurs hadiths sahih sur la fidélité aux engagements (Bukhârî 2449, Muslim sur les signes de l'hypocrite). Ce n'est pas une formulation prophétique textuelle directe.</w:t>
      </w:r>
    </w:p>
    <w:p>
      <w:pPr>
        <w:pBdr>
          <w:bottom w:val="single" w:color="CCCCCC" w:sz="4" w:space="1"/>
        </w:pBdr>
        <w:spacing w:after="200" w:before="200"/>
      </w:pPr>
    </w:p>
    <w:p>
      <w:pPr>
        <w:spacing w:after="80" w:before="200"/>
      </w:pPr>
      <w:r>
        <w:rPr>
          <w:rFonts w:ascii="Arial" w:cs="Arial" w:eastAsia="Arial" w:hAnsi="Arial"/>
          <w:b/>
          <w:bCs/>
          <w:color w:val="2E75B6"/>
          <w:sz w:val="22"/>
          <w:szCs w:val="22"/>
        </w:rPr>
        <w:t xml:space="preserve">14. SECRETS-017 — Extrapolation prophétique directe — Mâ'iz ibn Mâlik</w:t>
      </w:r>
    </w:p>
    <w:p>
      <w:pPr>
        <w:spacing w:after="60" w:before="60"/>
      </w:pPr>
      <w:r>
        <w:rPr>
          <w:rFonts w:ascii="Arial" w:cs="Arial" w:eastAsia="Arial" w:hAnsi="Arial"/>
          <w:b/>
          <w:bCs/>
          <w:color w:val="C55A11"/>
          <w:sz w:val="18"/>
          <w:szCs w:val="18"/>
        </w:rPr>
        <w:t xml:space="preserve">TYPE : CORRECTION</w:t>
      </w:r>
    </w:p>
    <w:p>
      <w:pPr>
        <w:spacing w:after="100"/>
      </w:pPr>
      <w:r>
        <w:rPr>
          <w:rFonts w:ascii="Arial" w:cs="Arial" w:eastAsia="Arial" w:hAnsi="Arial"/>
          <w:sz w:val="20"/>
          <w:szCs w:val="20"/>
        </w:rPr>
        <w:t xml:space="preserve">PROBLÈME :</w:t>
      </w:r>
    </w:p>
    <w:p>
      <w:pPr>
        <w:spacing w:after="100"/>
      </w:pPr>
      <w:r>
        <w:rPr>
          <w:rFonts w:ascii="Arial" w:cs="Arial" w:eastAsia="Arial" w:hAnsi="Arial"/>
          <w:sz w:val="20"/>
          <w:szCs w:val="20"/>
        </w:rPr>
        <w:t xml:space="preserve">Une parole est attribuée directement au Prophète ﷺ : « Si vous aviez su cela en privé... vous auriez dû le couvrir. » C'est une extrapolation des savants à partir de l'épisode de Mâ'iz, non une citation textuelle prophétique.</w:t>
      </w:r>
    </w:p>
    <w:p>
      <w:pPr>
        <w:spacing w:after="60"/>
      </w:pPr>
    </w:p>
    <w:p>
      <w:pPr>
        <w:spacing w:after="60" w:before="60"/>
      </w:pPr>
      <w:r>
        <w:rPr>
          <w:rFonts w:ascii="Arial" w:cs="Arial" w:eastAsia="Arial" w:hAnsi="Arial"/>
          <w:b/>
          <w:bCs/>
          <w:color w:val="C00000"/>
          <w:sz w:val="18"/>
          <w:szCs w:val="18"/>
        </w:rPr>
        <w:t xml:space="preserve">AVANT :</w:t>
      </w:r>
    </w:p>
    <w:p>
      <w:pPr>
        <w:spacing w:after="60"/>
        <w:ind w:left="360"/>
      </w:pPr>
      <w:r>
        <w:rPr>
          <w:rFonts w:ascii="Courier New" w:cs="Courier New" w:eastAsia="Courier New" w:hAnsi="Courier New"/>
          <w:color w:val="1F5C99"/>
          <w:sz w:val="18"/>
          <w:szCs w:val="18"/>
        </w:rPr>
        <w:t xml:space="preserve">Le Prophète ﷺ, à contre-cœur, ordonna alors l'application de la peine.</w:t>
      </w:r>
    </w:p>
    <w:p>
      <w:pPr>
        <w:spacing w:after="60"/>
        <w:ind w:left="360"/>
      </w:pPr>
      <w:r>
        <w:rPr>
          <w:rFonts w:ascii="Courier New" w:cs="Courier New" w:eastAsia="Courier New" w:hAnsi="Courier New"/>
          <w:color w:val="1F5C99"/>
          <w:sz w:val="18"/>
          <w:szCs w:val="18"/>
        </w:rPr>
        <w:t xml:space="preserve">Mais avant que la sanction ne soit exécutée, il dit aux Compagnons une parole importante : "Cet homme a confessé en public. Il a insisté pour être puni. Allâh lui a, par ce repentir public, fait remise de son péché. Mais SI VOUS aviez su cela en privé — sans qu'il vienne se dénoncer — vous auriez dû le COUVRIR."</w:t>
      </w:r>
    </w:p>
    <w:p>
      <w:pPr>
        <w:spacing w:after="80"/>
      </w:pPr>
    </w:p>
    <w:p>
      <w:pPr>
        <w:spacing w:after="60" w:before="60"/>
      </w:pPr>
      <w:r>
        <w:rPr>
          <w:rFonts w:ascii="Arial" w:cs="Arial" w:eastAsia="Arial" w:hAnsi="Arial"/>
          <w:b/>
          <w:bCs/>
          <w:color w:val="375623"/>
          <w:sz w:val="18"/>
          <w:szCs w:val="18"/>
        </w:rPr>
        <w:t xml:space="preserve">APRÈS :</w:t>
      </w:r>
    </w:p>
    <w:p>
      <w:pPr>
        <w:spacing w:after="60"/>
        <w:ind w:left="360"/>
      </w:pPr>
      <w:r>
        <w:rPr>
          <w:rFonts w:ascii="Courier New" w:cs="Courier New" w:eastAsia="Courier New" w:hAnsi="Courier New"/>
          <w:color w:val="1F5C99"/>
          <w:sz w:val="18"/>
          <w:szCs w:val="18"/>
        </w:rPr>
        <w:t xml:space="preserve">Le Prophète ﷺ, à contre-cœur, ordonna alors l'application de la peine.</w:t>
      </w:r>
    </w:p>
    <w:p>
      <w:pPr>
        <w:spacing w:after="60"/>
        <w:ind w:left="360"/>
      </w:pPr>
      <w:r>
        <w:rPr>
          <w:rFonts w:ascii="Courier New" w:cs="Courier New" w:eastAsia="Courier New" w:hAnsi="Courier New"/>
          <w:color w:val="1F5C99"/>
          <w:sz w:val="18"/>
          <w:szCs w:val="18"/>
        </w:rPr>
        <w:t xml:space="preserve">Les savants ont tiré de cet épisode un enseignement majeur : si les Compagnons avaient su en privé la faute de Mâ'iz — sans qu'il vienne lui-même se dénoncer — ils auraient eu l'obligation de le couvrir. C'est le sens que les fuqahâ' donnent au comportement du Prophète ﷺ qui a quatre fois détourné son visage.</w:t>
      </w:r>
    </w:p>
    <w:p>
      <w:pPr>
        <w:pBdr>
          <w:bottom w:val="single" w:color="CCCCCC" w:sz="4" w:space="1"/>
        </w:pBdr>
        <w:spacing w:after="200" w:before="200"/>
      </w:pPr>
    </w:p>
    <w:p>
      <w:pPr>
        <w:pStyle w:val="Heading2"/>
      </w:pPr>
      <w:r>
        <w:rPr>
          <w:rFonts w:ascii="Arial" w:cs="Arial" w:eastAsia="Arial" w:hAnsi="Arial"/>
          <w:b/>
          <w:bCs/>
          <w:sz w:val="24"/>
          <w:szCs w:val="24"/>
        </w:rPr>
        <w:t xml:space="preserve">LÉGENDE DES TYPES</w:t>
      </w:r>
    </w:p>
    <w:p>
      <w:pPr>
        <w:spacing w:after="100"/>
      </w:pPr>
      <w:r>
        <w:rPr>
          <w:rFonts w:ascii="Arial" w:cs="Arial" w:eastAsia="Arial" w:hAnsi="Arial"/>
          <w:sz w:val="20"/>
          <w:szCs w:val="20"/>
        </w:rPr>
        <w:t xml:space="preserve">LABEL — Ajout ou renforcement d'un label de précaution dans la source déclarée.</w:t>
      </w:r>
    </w:p>
    <w:p>
      <w:pPr>
        <w:spacing w:after="100"/>
      </w:pPr>
      <w:r>
        <w:rPr>
          <w:rFonts w:ascii="Arial" w:cs="Arial" w:eastAsia="Arial" w:hAnsi="Arial"/>
          <w:sz w:val="20"/>
          <w:szCs w:val="20"/>
        </w:rPr>
        <w:t xml:space="preserve">CORRECTION — Modification du corps du texte pour corriger une attribution ou une formulation.</w:t>
      </w:r>
    </w:p>
    <w:p>
      <w:pPr>
        <w:spacing w:after="100"/>
      </w:pPr>
      <w:r>
        <w:rPr>
          <w:rFonts w:ascii="Arial" w:cs="Arial" w:eastAsia="Arial" w:hAnsi="Arial"/>
          <w:sz w:val="20"/>
          <w:szCs w:val="20"/>
        </w:rPr>
        <w:t xml:space="preserve">CORRECTION_CRITIQUE — Suppression d'une référence prophétique non établie (hadith apocryphe).</w:t>
      </w:r>
    </w:p>
    <w:p>
      <w:pPr>
        <w:spacing w:after="200"/>
      </w:pPr>
    </w:p>
    <w:p>
      <w:pPr>
        <w:pBdr>
          <w:bottom w:val="single" w:color="CCCCCC" w:sz="4" w:space="1"/>
        </w:pBdr>
        <w:spacing w:after="200" w:before="200"/>
      </w:pPr>
    </w:p>
    <w:p>
      <w:pPr>
        <w:pStyle w:val="Heading2"/>
      </w:pPr>
      <w:r>
        <w:rPr>
          <w:rFonts w:ascii="Arial" w:cs="Arial" w:eastAsia="Arial" w:hAnsi="Arial"/>
          <w:b/>
          <w:bCs/>
          <w:sz w:val="24"/>
          <w:szCs w:val="24"/>
        </w:rPr>
        <w:t xml:space="preserve">DOUBLONS ÉDITORIAUX</w:t>
      </w:r>
    </w:p>
    <w:p>
      <w:pPr>
        <w:spacing w:after="100"/>
      </w:pPr>
      <w:r>
        <w:rPr>
          <w:rFonts w:ascii="Arial" w:cs="Arial" w:eastAsia="Arial" w:hAnsi="Arial"/>
          <w:sz w:val="20"/>
          <w:szCs w:val="20"/>
        </w:rPr>
        <w:t xml:space="preserve">Ces hadiths apparaissent plusieurs fois dans le corpus — volontaire mais à assumer :</w:t>
      </w:r>
    </w:p>
    <w:p>
      <w:pPr>
        <w:spacing w:after="100"/>
      </w:pPr>
      <w:r>
        <w:rPr>
          <w:rFonts w:ascii="Arial" w:cs="Arial" w:eastAsia="Arial" w:hAnsi="Arial"/>
          <w:sz w:val="20"/>
          <w:szCs w:val="20"/>
        </w:rPr>
        <w:t xml:space="preserve">• Bukhârî 2442 / Muslim 2580 (couverture des défauts) — 5 occurrences</w:t>
      </w:r>
    </w:p>
    <w:p>
      <w:pPr>
        <w:spacing w:after="100"/>
      </w:pPr>
      <w:r>
        <w:rPr>
          <w:rFonts w:ascii="Arial" w:cs="Arial" w:eastAsia="Arial" w:hAnsi="Arial"/>
          <w:sz w:val="20"/>
          <w:szCs w:val="20"/>
        </w:rPr>
        <w:t xml:space="preserve">• Bukhârî 660 / Muslim 1031 (sept sous l'ombre) — 3 occurrences</w:t>
      </w:r>
    </w:p>
    <w:p>
      <w:pPr>
        <w:spacing w:after="100"/>
      </w:pPr>
      <w:r>
        <w:rPr>
          <w:rFonts w:ascii="Arial" w:cs="Arial" w:eastAsia="Arial" w:hAnsi="Arial"/>
          <w:sz w:val="20"/>
          <w:szCs w:val="20"/>
        </w:rPr>
        <w:t xml:space="preserve">• Bukhârî 6114 / Muslim 2609 (la vraie force) — 2 occurrences</w:t>
      </w:r>
    </w:p>
    <w:p>
      <w:pPr>
        <w:spacing w:after="100"/>
      </w:pPr>
      <w:r>
        <w:rPr>
          <w:rFonts w:ascii="Arial" w:cs="Arial" w:eastAsia="Arial" w:hAnsi="Arial"/>
          <w:sz w:val="20"/>
          <w:szCs w:val="20"/>
        </w:rPr>
        <w:t xml:space="preserve">• Tirmidhî 1956 (sourire = sadaqa) — 2 occurrences</w:t>
      </w:r>
    </w:p>
    <w:p>
      <w:pPr>
        <w:spacing w:after="200"/>
      </w:pPr>
    </w:p>
    <w:p>
      <w:pPr>
        <w:pBdr>
          <w:bottom w:val="single" w:color="CCCCCC" w:sz="4" w:space="1"/>
        </w:pBdr>
        <w:spacing w:after="200" w:before="200"/>
      </w:pPr>
    </w:p>
    <w:p>
      <w:pPr>
        <w:spacing w:after="100"/>
      </w:pPr>
      <w:r>
        <w:rPr>
          <w:rFonts w:ascii="Arial" w:cs="Arial" w:eastAsia="Arial" w:hAnsi="Arial"/>
          <w:b/>
          <w:bCs/>
          <w:sz w:val="20"/>
          <w:szCs w:val="20"/>
        </w:rPr>
        <w:t xml:space="preserve">Fin du SPEC — 14 corrections à appliquer.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2026-06-23T19:19:16.174Z</dcterms:created>
  <dcterms:modified xsi:type="dcterms:W3CDTF">2026-06-23T19:19:16.175Z</dcterms:modified>
</cp:coreProperties>
</file>

<file path=docProps/custom.xml><?xml version="1.0" encoding="utf-8"?>
<Properties xmlns="http://schemas.openxmlformats.org/officeDocument/2006/custom-properties" xmlns:vt="http://schemas.openxmlformats.org/officeDocument/2006/docPropsVTypes"/>
</file>