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/>
      </w:pPr>
      <w:r>
        <w:rPr/>
        <w:t>УДК 378.147:514.18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Веб-тренажер по начертательной геометрии с пошаговыми построениями и автоматической проверкой чертежей</w:t>
      </w:r>
    </w:p>
    <w:p>
      <w:pPr>
        <w:pStyle w:val="Normal"/>
        <w:tabs>
          <w:tab w:val="clear" w:pos="709"/>
          <w:tab w:val="right" w:pos="9638" w:leader="none"/>
        </w:tabs>
        <w:spacing w:lineRule="auto" w:line="360"/>
        <w:rPr/>
      </w:pPr>
      <w:r>
        <w:rPr>
          <w:b/>
          <w:bCs/>
        </w:rPr>
        <w:t>Матханов Андрей Михайлович</w:t>
      </w:r>
      <w:r>
        <w:rPr>
          <w:b/>
          <w:bCs/>
          <w:vertAlign w:val="superscript"/>
        </w:rPr>
        <w:t>1</w:t>
      </w:r>
      <w:r>
        <w:rPr/>
        <w:tab/>
        <w:t>matkhanovam@bmstu.ru</w:t>
      </w:r>
    </w:p>
    <w:p>
      <w:pPr>
        <w:pStyle w:val="Normal"/>
        <w:tabs>
          <w:tab w:val="clear" w:pos="709"/>
          <w:tab w:val="right" w:pos="9638" w:leader="none"/>
        </w:tabs>
        <w:spacing w:lineRule="auto" w:line="360"/>
        <w:rPr/>
      </w:pPr>
      <w:r>
        <w:rPr>
          <w:b/>
          <w:bCs/>
        </w:rPr>
        <w:t>Андреев-Твердов Андрей Игоревич</w:t>
      </w:r>
      <w:r>
        <w:rPr>
          <w:b/>
          <w:bCs/>
          <w:vertAlign w:val="superscript"/>
        </w:rPr>
        <w:t>1 (*)</w:t>
      </w:r>
      <w:r>
        <w:rPr/>
        <w:tab/>
        <w:t>tverdov@bmstu.ru</w:t>
      </w:r>
    </w:p>
    <w:p>
      <w:pPr>
        <w:pStyle w:val="Normal"/>
        <w:tabs>
          <w:tab w:val="clear" w:pos="709"/>
          <w:tab w:val="right" w:pos="9638" w:leader="none"/>
        </w:tabs>
        <w:spacing w:lineRule="auto" w:line="360"/>
        <w:rPr/>
      </w:pPr>
      <w:r>
        <w:rPr>
          <w:b/>
          <w:bCs/>
        </w:rPr>
        <w:t>Бескровный Дмитрий Вячеславович</w:t>
      </w:r>
      <w:r>
        <w:rPr>
          <w:b/>
          <w:bCs/>
          <w:vertAlign w:val="superscript"/>
        </w:rPr>
        <w:t>1</w:t>
      </w:r>
      <w:r>
        <w:rPr/>
        <w:tab/>
        <w:t>bdv@bmstu.ru</w:t>
      </w:r>
    </w:p>
    <w:p>
      <w:pPr>
        <w:pStyle w:val="Normal"/>
        <w:spacing w:lineRule="auto" w:line="360"/>
        <w:jc w:val="both"/>
        <w:rPr/>
      </w:pPr>
      <w:r>
        <w:rPr>
          <w:vertAlign w:val="superscript"/>
        </w:rPr>
        <w:t xml:space="preserve">1 </w:t>
      </w:r>
      <w:r>
        <w:rPr/>
        <w:t>Московский государственный технический университет имени Н.Э. Баумана (национальный исследовательский университет), Москва, Россия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 xml:space="preserve">Аннотация. </w:t>
      </w:r>
      <w:r>
        <w:rPr/>
        <w:t xml:space="preserve">Рассмотрено представление хода решения задач начертательной геометрии в электронной форме с контролем правильности чертежей. Представлен веб-тренажер, в котором решения 89 задач рабочей тетради показаны по шагам с пояснениями, а чертежи проходят многоуровневую автоматическую проверку вычислением, включая проверку построимости каждого элемента. Мутационным анализом показано, что проверка обнаруживает от 98 до 100 % внесенных ошибок в линиях связи, подписях проекций, числовых размерах и положении ответа, 72 % ошибок в коде построений и 100 % — в коде разборов домашних заданий. Подход применим для разработки электронных учебных материалов по графическим дисциплинам.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>
          <w:b/>
          <w:bCs/>
        </w:rPr>
        <w:t xml:space="preserve">Ключевые слова: </w:t>
      </w:r>
      <w:r>
        <w:rPr/>
        <w:t xml:space="preserve">начертательная геометрия, эпюр Монжа, веб-тренажер, пошаговое построение, автоматическая проверка чертежей, проверка построимости, мутационный анализ, электронное обучение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567" w:end="0"/>
        <w:jc w:val="both"/>
        <w:rPr/>
      </w:pPr>
      <w:r>
        <w:rPr>
          <w:b/>
          <w:bCs/>
        </w:rPr>
        <w:t xml:space="preserve">Введение. </w:t>
      </w:r>
      <w:r>
        <w:rPr/>
        <w:t>Решение задачи начертательной геометрии — последовательность построений на эпюре Монжа, каждое из которых опирается на свойство проецирования. Готовый чертеж показывает результат, но не порядок построений и их обоснование; для самостоятельной работы важно видеть решение по шагам и быть уверенным в его правильности, чем и определяется актуальность работы. Учебной основой тренажера служат учебник [1] (теоретический материал), рабочая тетрадь [2] (условия задач) и методические указания [3] (состав домашних заданий).</w:t>
      </w:r>
    </w:p>
    <w:p>
      <w:pPr>
        <w:pStyle w:val="Normal"/>
        <w:spacing w:lineRule="auto" w:line="360"/>
        <w:ind w:firstLine="567" w:end="0"/>
        <w:jc w:val="both"/>
        <w:rPr/>
      </w:pPr>
      <w:r>
        <w:rPr/>
        <w:t xml:space="preserve">Цель работы — разработать общедоступный веб-тренажер с пошаговыми решениями и систему проверки его чертежей вычислением. Новизна — учебный чертеж проверяется как доказательство: условие, построимость каждого элемента и ответ подтверждаются числами, а надежность проверки измерена. Научная значимость — формализация учебного чертежа: условие задачи записывается как геометрическое утверждение и проверяется вычислением независимо от способа построения.</w:t>
      </w:r>
    </w:p>
    <w:p>
      <w:pPr>
        <w:pStyle w:val="Normal"/>
        <w:spacing w:lineRule="auto" w:line="360"/>
        <w:ind w:firstLine="567" w:end="0"/>
        <w:jc w:val="both"/>
        <w:rPr/>
      </w:pPr>
      <w:r>
        <w:rPr>
          <w:b/>
          <w:bCs/>
        </w:rPr>
        <w:t xml:space="preserve">Методы и материалы; результаты. </w:t>
      </w:r>
      <w:r>
        <w:rPr/>
        <w:t xml:space="preserve">Тренажер работает в браузере без установки и регистрации. Для каждой из 89 задач рабочей тетради [2] подготовлено пошаговое решение — всего 738 шагов. Шаг содержит заголовок, пояснение и, в 719 случаях, обоснование; элементы, добавленные на шаге, выделяются на чертеже (рис. 1). Построения вычисляются программно; в 85 задачах размеры не заданы, данные сняты с рисунков тетради, а правильность решений от них не зависит.</w:t>
      </w:r>
    </w:p>
    <w:p>
      <w:pPr>
        <w:pStyle w:val="Normal"/>
        <w:keepNext w:val="true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2134235" cy="2595880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2" r="-3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23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jc w:val="center"/>
        <w:rPr/>
      </w:pPr>
      <w:r>
        <w:rPr>
          <w:i/>
          <w:iCs/>
        </w:rPr>
        <w:t>Рис. 1. Задача № 46 [2], шаг 3 из 7: γ</w:t>
      </w:r>
      <w:r>
        <w:rPr>
          <w:i/>
          <w:iCs/>
          <w:vertAlign w:val="subscript"/>
        </w:rPr>
        <w:t>1</w:t>
      </w:r>
      <w:r>
        <w:rPr>
          <w:i/>
          <w:iCs/>
        </w:rPr>
        <w:t>, γ</w:t>
      </w:r>
      <w:r>
        <w:rPr>
          <w:i/>
          <w:iCs/>
          <w:vertAlign w:val="subscript"/>
        </w:rPr>
        <w:t>2</w:t>
      </w:r>
      <w:r>
        <w:rPr>
          <w:i/>
          <w:iCs/>
        </w:rPr>
        <w:t xml:space="preserve"> — вспомогательные фронтально-проецирующие плоскости (f</w:t>
      </w:r>
      <w:r>
        <w:rPr>
          <w:i/>
          <w:iCs/>
          <w:vertAlign w:val="subscript"/>
        </w:rPr>
        <w:t>0</w:t>
      </w:r>
      <w:r>
        <w:rPr>
          <w:i/>
          <w:iCs/>
        </w:rPr>
        <w:t>γ, h</w:t>
      </w:r>
      <w:r>
        <w:rPr>
          <w:i/>
          <w:iCs/>
          <w:vertAlign w:val="subscript"/>
        </w:rPr>
        <w:t>0</w:t>
      </w:r>
      <w:r>
        <w:rPr>
          <w:i/>
          <w:iCs/>
        </w:rPr>
        <w:t>γ — их следы); 1–4 — точки пересечения AC и BC с γ</w:t>
      </w:r>
      <w:r>
        <w:rPr>
          <w:i/>
          <w:iCs/>
          <w:vertAlign w:val="subscript"/>
        </w:rPr>
        <w:t>1</w:t>
      </w:r>
      <w:r>
        <w:rPr>
          <w:i/>
          <w:iCs/>
        </w:rPr>
        <w:t xml:space="preserve"> и γ</w:t>
      </w:r>
      <w:r>
        <w:rPr>
          <w:i/>
          <w:iCs/>
          <w:vertAlign w:val="subscript"/>
        </w:rPr>
        <w:t>2</w:t>
      </w:r>
      <w:r>
        <w:rPr>
          <w:i/>
          <w:iCs/>
        </w:rPr>
        <w:t>; 5 — точка пересечения DF с плоскостью ABC; маркером выделены элементы шага</w:t>
      </w:r>
    </w:p>
    <w:p>
      <w:pPr>
        <w:pStyle w:val="Normal"/>
        <w:spacing w:lineRule="auto" w:line="360"/>
        <w:ind w:firstLine="567" w:end="0"/>
        <w:jc w:val="both"/>
        <w:rPr/>
      </w:pPr>
      <w:r>
        <w:rPr/>
        <w:t xml:space="preserve">Автоматическая проверка запускается при каждом изменении тренажера и включает шесть уровней: восстановление точек в пространстве по двум проекциям с контролем линий связи, взаимного положения элементов и видимости; проверку ответа по условию, записанному как геометрическое утверждение (для 124 из 130 пунктов задач); проверку построимости: каждый элемент чертежа выводится из уже построенных действиями линейки и циркуля, а вычисления в тексте пересчитываются (87 из 89 задач); повторное построение на случайно измененных исходных данных (до 30 вариантов на задачу, 40 — для домашних заданий № 2 и № 3 [3]), где подогнанная точка дает противоречие; трассировку происхождения точек (построение не на той проекции); верифицированный эпюр (№ 46 и № 47): шаги исполняются в пространстве и на эпюре в точных дробях с совпадением проекций. Те же вычисления проверяют лист студента без показа ответа.</w:t>
      </w:r>
    </w:p>
    <w:p>
      <w:pPr>
        <w:pStyle w:val="Normal"/>
        <w:spacing w:lineRule="auto" w:line="360"/>
        <w:ind w:firstLine="567" w:end="0"/>
        <w:jc w:val="both"/>
        <w:rPr/>
      </w:pPr>
      <w:r>
        <w:rPr/>
        <w:t xml:space="preserve">Надежность проверки оценена мутационным анализом [4]: в чертежи и код задач вносились типовые ошибки (табл. 1); числа воспроизводятся на версии 5326e55 открытого репозитория.</w:t>
      </w:r>
    </w:p>
    <w:p>
      <w:pPr>
        <w:pStyle w:val="Normal"/>
        <w:keepNext w:val="true"/>
        <w:spacing w:lineRule="auto" w:line="360"/>
        <w:jc w:val="end"/>
        <w:rPr>
          <w:i/>
          <w:i/>
          <w:iCs/>
        </w:rPr>
      </w:pPr>
      <w:r>
        <w:rPr>
          <w:i/>
          <w:iCs/>
        </w:rPr>
        <w:t>Таблица 1</w:t>
      </w:r>
    </w:p>
    <w:p>
      <w:pPr>
        <w:pStyle w:val="Normal"/>
        <w:keepNext w:val="true"/>
        <w:spacing w:lineRule="auto" w:line="360"/>
        <w:jc w:val="center"/>
        <w:rPr>
          <w:b/>
          <w:bCs/>
        </w:rPr>
      </w:pPr>
      <w:r>
        <w:rPr>
          <w:b/>
          <w:bCs/>
        </w:rPr>
        <w:t>Результаты мутационного анализа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8"/>
        <w:gridCol w:w="1700"/>
        <w:gridCol w:w="1700"/>
      </w:tblGrid>
      <w:tr>
        <w:trPr>
          <w:tblHeader w:val="true"/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Вид внесенной ошибки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Внесено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Обнаружено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Разрыв линии связи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145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145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Перестановка подписей проекций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128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125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Изменение числового размера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22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Смещение ответа, без проверки ответа по условию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220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88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Смещение ответа, с проверкой ответа по условию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220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215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Ошибки в коде построений, меняющие чертеж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536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387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в том числе в задачах № 46 и № 47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18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17</w:t>
            </w:r>
          </w:p>
        </w:tc>
      </w:tr>
      <w:tr>
        <w:trPr>
          <w:cantSplit w:val="true"/>
        </w:trPr>
        <w:tc>
          <w:tcPr>
            <w:tcW w:w="6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/>
            </w:pPr>
            <w:r>
              <w:rPr/>
              <w:t>Ошибки в коде разборов домашних заданий № 2 и № 3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33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33</w:t>
            </w:r>
          </w:p>
        </w:tc>
      </w:tr>
    </w:tbl>
    <w:p>
      <w:pPr>
        <w:pStyle w:val="Normal"/>
        <w:spacing w:lineRule="auto" w:line="360" w:before="120" w:after="0"/>
        <w:ind w:firstLine="567" w:end="0"/>
        <w:jc w:val="both"/>
        <w:rPr/>
      </w:pPr>
      <w:r>
        <w:rPr>
          <w:b/>
          <w:bCs/>
        </w:rPr>
        <w:t xml:space="preserve">Заключение. </w:t>
      </w:r>
      <w:r>
        <w:rPr/>
        <w:t xml:space="preserve">Цель достигнута: решения всех задач тетради представлены по шагам, а чертежи проверяются вычислением при каждом изменении; проверка ответа по условию и построимости существенно дополняет проверку проекций. Направления дальнейшей работы — распространение верифицированного эпюра на все задачи и оценка влияния тренажера на результаты обучения в пилоте с контрольной группой. Подход может быть применен к учебным материалам по графическим дисциплинам, в том числе по инженерной графике [5], где чертежи должны соответствовать стандартам [6].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keepNext w:val="true"/>
        <w:spacing w:lineRule="auto" w:line="360"/>
        <w:jc w:val="both"/>
        <w:rPr>
          <w:b/>
          <w:bCs/>
        </w:rPr>
      </w:pPr>
      <w:r>
        <w:rPr>
          <w:b/>
          <w:bCs/>
        </w:rPr>
        <w:t>Список источников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[1]</w:t>
        <w:tab/>
        <w:t>Жирных Б.Г., Серегин В.И., Шарикян Ю.Э. Начертательная геометрия. — Москва : Издательство МГТУ им. Н.Э. Баумана, 2015.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[2]</w:t>
        <w:tab/>
        <w:t>Жирных Б.Г., Новоселова Л.В. Начертательная геометрия. Рабочая тетрадь для семинарских занятий : рабочая тетрадь. — 6-е изд. — Москва : Издательство МГТУ им. Н.Э. Баумана, 2026. — 34, [2] с. : ил.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[3]</w:t>
        <w:tab/>
        <w:t>Камзолов Е.П., Покровская М.В., Добровольская Н.А. Выполнение домашних заданий по начертательной геометрии : методические указания. — Москва : МВТУ им. Н.Э. Баумана, 1986.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[4]</w:t>
        <w:tab/>
        <w:t>Jia Y., Harman M. An Analysis and Survey of the Development of Mutation Testing // IEEE Transactions on Software Engineering. — 2011. — Vol. 37, no. 5. — P. 649–678.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[5]</w:t>
        <w:tab/>
        <w:t>Инженерная графика. Проекционное черчение : рабочая тетрадь / [Т.Л. Белобородова и др.]. — 5-е изд. — Москва : Издательство МГТУ им. Н.Э. Баумана, 2026. — 44 с. : ил.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[6]</w:t>
        <w:tab/>
        <w:t>ГОСТ 2.305–2008. Единая система конструкторской документации. Изображения — виды, разрезы, сечения. — Москва : Стандартинформ, 2009.</w:t>
      </w:r>
    </w:p>
    <w:sectPr>
      <w:footerReference w:type="default" r:id="rId3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</w:rPr>
  </w:style>
  <w:style w:type="character" w:styleId="Heading2Char">
    <w:name w:val="Heading 2 Char"/>
    <w:qFormat/>
    <w:rPr>
      <w:rFonts w:ascii="Arial" w:hAnsi="Arial" w:cs="Arial"/>
      <w:b/>
      <w:bCs/>
      <w:i/>
      <w:iCs/>
      <w:sz w:val="28"/>
      <w:szCs w:val="28"/>
    </w:rPr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2026-10-14T08:50:00Z</dcterms:created>
  <dc:creator>word</dc:creator>
  <dc:description/>
  <cp:keywords/>
  <dc:language>en-US</dc:language>
  <cp:lastModifiedBy>word</cp:lastModifiedBy>
  <cp:lastPrinted>2018-11-20T12:36:00Z</cp:lastPrinted>
  <dcterms:modified xsi:type="dcterms:W3CDTF">2026-10-14T08:50:00Z</dcterms:modified>
  <cp:revision>2</cp:revision>
  <dc:subject/>
  <dc:title/>
</cp:coreProperties>
</file>