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Bestandsaufnahme — Datenschutzerklärung &amp; AGB für KAS</w:t>
      </w:r>
    </w:p>
    <w:p>
      <w:pPr>
        <w:pStyle w:val="Author"/>
      </w:pPr>
      <w:r>
        <w:t xml:space="preserve">Kompagnon</w:t>
      </w:r>
    </w:p>
    <w:p>
      <w:pPr>
        <w:pStyle w:val="Date"/>
      </w:pPr>
      <w:r>
        <w:t xml:space="preserve">2026-04-30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0" w:name="X5928ddb743b10a0740c741fb2ff19ee087ad218"/>
    <w:p>
      <w:pPr>
        <w:pStyle w:val="Heading1"/>
      </w:pPr>
      <w:r>
        <w:t xml:space="preserve">Bestandsaufnahme für Datenschutzerklärung &amp; AGB — KAS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Technische Bestandsaufnahme v1</w:t>
      </w:r>
      <w:r>
        <w:t xml:space="preserve"> </w:t>
      </w:r>
      <w:r>
        <w:rPr>
          <w:b/>
          <w:bCs/>
        </w:rPr>
        <w:t xml:space="preserve">Erstellt:</w:t>
      </w:r>
      <w:r>
        <w:t xml:space="preserve"> </w:t>
      </w:r>
      <w:r>
        <w:t xml:space="preserve">2026-04-30</w:t>
      </w:r>
      <w:r>
        <w:t xml:space="preserve"> </w:t>
      </w:r>
      <w:r>
        <w:rPr>
          <w:b/>
          <w:bCs/>
        </w:rPr>
        <w:t xml:space="preserve">Zweck:</w:t>
      </w:r>
      <w:r>
        <w:t xml:space="preserve"> </w:t>
      </w:r>
      <w:r>
        <w:t xml:space="preserve">Vollständiger Input für Rechtsanwalt / Rechtstextgenerator</w:t>
      </w:r>
      <w:r>
        <w:t xml:space="preserve"> </w:t>
      </w:r>
      <w:r>
        <w:rPr>
          <w:b/>
          <w:bCs/>
        </w:rPr>
        <w:t xml:space="preserve">Branch:</w:t>
      </w:r>
      <w:r>
        <w:t xml:space="preserve"> </w:t>
      </w:r>
      <w:r>
        <w:t xml:space="preserve">staging</w:t>
      </w:r>
    </w:p>
    <w:p>
      <w:pPr>
        <w:pStyle w:val="BlockText"/>
      </w:pPr>
      <w:r>
        <w:rPr>
          <w:b/>
          <w:bCs/>
        </w:rPr>
        <w:t xml:space="preserve">WICHTIG — Haftungsausschluss:</w:t>
      </w:r>
      <w:r>
        <w:t xml:space="preserve"> </w:t>
      </w:r>
      <w:r>
        <w:t xml:space="preserve">Dieses Dokument ist eine technische Bestandsaufnahme,</w:t>
      </w:r>
      <w:r>
        <w:t xml:space="preserve"> </w:t>
      </w:r>
      <w:r>
        <w:rPr>
          <w:b/>
          <w:bCs/>
        </w:rPr>
        <w:t xml:space="preserve">kein Rechtstext</w:t>
      </w:r>
      <w:r>
        <w:t xml:space="preserve">. Vor Veröffentlichung MUSS ein Fachanwalt für IT-/Datenschutzrecht prüfen. Empfohlen: eRecht24 Premium, activeMind, oder direkter Anwalt. Falsche oder fehlende Angaben können Abmahnungen + Bußgelder bis 4 % des Jahresumsatzes (DSGVO Art. 83) auslösen.</w:t>
      </w:r>
    </w:p>
    <w:p>
      <w:r>
        <w:pict>
          <v:rect style="width:0;height:1.5pt" o:hralign="center" o:hrstd="t" o:hr="t"/>
        </w:pict>
      </w:r>
    </w:p>
    <w:bookmarkStart w:id="49" w:name="Xdbbeb290bb8fdc916d208d3c4ea41959ff4b05c"/>
    <w:p>
      <w:pPr>
        <w:pStyle w:val="Heading2"/>
      </w:pPr>
      <w:r>
        <w:t xml:space="preserve">TEIL A — DATENSCHUTZERKLÄRUNG (Eingabe-Daten)</w:t>
      </w:r>
    </w:p>
    <w:bookmarkStart w:id="9" w:name="Xe1ffee7f1a71f9061d7238e0eb1c2931a501381"/>
    <w:p>
      <w:pPr>
        <w:pStyle w:val="Heading3"/>
      </w:pPr>
      <w:r>
        <w:t xml:space="preserve">A1. Verantwortliche Stelle (vom Inhaber auszufüllen)</w:t>
      </w:r>
    </w:p>
    <w:p>
      <w:pPr>
        <w:pStyle w:val="SourceCode"/>
      </w:pPr>
      <w:r>
        <w:rPr>
          <w:rStyle w:val="VerbatimChar"/>
        </w:rPr>
        <w:t xml:space="preserve">Firma:           [Rechtsform + Firmenname, z. B. Kompagnon Communications GmbH]</w:t>
      </w:r>
      <w:r>
        <w:br/>
      </w:r>
      <w:r>
        <w:rPr>
          <w:rStyle w:val="VerbatimChar"/>
        </w:rPr>
        <w:t xml:space="preserve">Inhaber/GF:      [Name(n)]</w:t>
      </w:r>
      <w:r>
        <w:br/>
      </w:r>
      <w:r>
        <w:rPr>
          <w:rStyle w:val="VerbatimChar"/>
        </w:rPr>
        <w:t xml:space="preserve">Anschrift:       [Straße, PLZ, Ort, Land]</w:t>
      </w:r>
      <w:r>
        <w:br/>
      </w:r>
      <w:r>
        <w:rPr>
          <w:rStyle w:val="VerbatimChar"/>
        </w:rPr>
        <w:t xml:space="preserve">Handelsregister: [Amtsgericht + HRB-Nummer]</w:t>
      </w:r>
      <w:r>
        <w:br/>
      </w:r>
      <w:r>
        <w:rPr>
          <w:rStyle w:val="VerbatimChar"/>
        </w:rPr>
        <w:t xml:space="preserve">USt-IdNr.:       [DE...]</w:t>
      </w:r>
      <w:r>
        <w:br/>
      </w:r>
      <w:r>
        <w:rPr>
          <w:rStyle w:val="VerbatimChar"/>
        </w:rPr>
        <w:t xml:space="preserve">E-Mail:          [info@kompagnon.eu o. ä.]</w:t>
      </w:r>
      <w:r>
        <w:br/>
      </w:r>
      <w:r>
        <w:rPr>
          <w:rStyle w:val="VerbatimChar"/>
        </w:rPr>
        <w:t xml:space="preserve">Telefon:         [+49 ...]</w:t>
      </w:r>
      <w:r>
        <w:br/>
      </w:r>
      <w:r>
        <w:rPr>
          <w:rStyle w:val="VerbatimChar"/>
        </w:rPr>
        <w:t xml:space="preserve">Website:         https://kompagnon.eu</w:t>
      </w:r>
    </w:p>
    <w:bookmarkEnd w:id="9"/>
    <w:bookmarkStart w:id="10" w:name="a2-datenschutzbeauftragter"/>
    <w:p>
      <w:pPr>
        <w:pStyle w:val="Heading3"/>
      </w:pPr>
      <w:r>
        <w:t xml:space="preserve">A2. Datenschutzbeauftragter</w:t>
      </w:r>
    </w:p>
    <w:p>
      <w:pPr>
        <w:pStyle w:val="FirstParagraph"/>
      </w:pPr>
      <w:r>
        <w:t xml:space="preserve">DSGVO-Kriterien für Pflicht-DSB (§ 38 BDSG):</w:t>
      </w:r>
    </w:p>
    <w:p>
      <w:pPr>
        <w:pStyle w:val="Compact"/>
        <w:numPr>
          <w:ilvl w:val="0"/>
          <w:numId w:val="1001"/>
        </w:numPr>
      </w:pPr>
      <w:r>
        <w:t xml:space="preserve">≥ 20 Personen ständig mit automatisierter Verarbeitung beschäftigt</w:t>
      </w:r>
      <w:r>
        <w:t xml:space="preserve"> </w:t>
      </w:r>
      <w:r>
        <w:rPr>
          <w:b/>
          <w:bCs/>
        </w:rPr>
        <w:t xml:space="preserve">ODER</w:t>
      </w:r>
    </w:p>
    <w:p>
      <w:pPr>
        <w:pStyle w:val="Compact"/>
        <w:numPr>
          <w:ilvl w:val="0"/>
          <w:numId w:val="1001"/>
        </w:numPr>
      </w:pPr>
      <w:r>
        <w:t xml:space="preserve">Kerntätigkeit: umfangreiche regelmäßige Überwachung von Betroffenen</w:t>
      </w:r>
      <w:r>
        <w:t xml:space="preserve"> </w:t>
      </w:r>
      <w:r>
        <w:rPr>
          <w:b/>
          <w:bCs/>
        </w:rPr>
        <w:t xml:space="preserve">ODER</w:t>
      </w:r>
    </w:p>
    <w:p>
      <w:pPr>
        <w:pStyle w:val="Compact"/>
        <w:numPr>
          <w:ilvl w:val="0"/>
          <w:numId w:val="1001"/>
        </w:numPr>
      </w:pPr>
      <w:r>
        <w:t xml:space="preserve">Verarbeitung besonderer Kategorien (Art. 9 DSGVO)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  <w:bCs/>
        </w:rPr>
        <w:t xml:space="preserve">Prüfen:</w:t>
      </w:r>
      <w:r>
        <w:t xml:space="preserve"> </w:t>
      </w:r>
      <w:r>
        <w:t xml:space="preserve">Wenn KAS umfangreiche Lead-Akquise + Audit fremder Websites macht, könnte „Kerntätigkeit Überwachung" zutreffen → externer DSB empfohlen (Kosten ~50–150 €/Monat).</w:t>
      </w:r>
    </w:p>
    <w:bookmarkEnd w:id="10"/>
    <w:bookmarkStart w:id="13" w:name="a3-hosting--infrastruktur"/>
    <w:p>
      <w:pPr>
        <w:pStyle w:val="Heading3"/>
      </w:pPr>
      <w:r>
        <w:t xml:space="preserve">A3. Hosting &amp; Infrastruktur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Komponente</w:t>
            </w:r>
          </w:p>
        </w:tc>
        <w:tc>
          <w:tcPr/>
          <w:p>
            <w:pPr>
              <w:pStyle w:val="Compact"/>
            </w:pPr>
            <w:r>
              <w:t xml:space="preserve">Anbieter</w:t>
            </w:r>
          </w:p>
        </w:tc>
        <w:tc>
          <w:tcPr/>
          <w:p>
            <w:pPr>
              <w:pStyle w:val="Compact"/>
            </w:pPr>
            <w:r>
              <w:t xml:space="preserve">Sitz</w:t>
            </w:r>
          </w:p>
        </w:tc>
        <w:tc>
          <w:tcPr/>
          <w:p>
            <w:pPr>
              <w:pStyle w:val="Compact"/>
            </w:pPr>
            <w:r>
              <w:t xml:space="preserve">Funktion</w:t>
            </w:r>
          </w:p>
        </w:tc>
        <w:tc>
          <w:tcPr/>
          <w:p>
            <w:pPr>
              <w:pStyle w:val="Compact"/>
            </w:pPr>
            <w:r>
              <w:t xml:space="preserve">DSGVO-Status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(FastAPI)</w:t>
            </w:r>
          </w:p>
        </w:tc>
        <w:tc>
          <w:tcPr/>
          <w:p>
            <w:pPr>
              <w:pStyle w:val="Compact"/>
            </w:pPr>
            <w:r>
              <w:t xml:space="preserve">Render Inc.</w:t>
            </w:r>
          </w:p>
        </w:tc>
        <w:tc>
          <w:tcPr/>
          <w:p>
            <w:pPr>
              <w:pStyle w:val="Compact"/>
            </w:pPr>
            <w:r>
              <w:t xml:space="preserve">Region Frankfurt (EU)</w:t>
            </w:r>
          </w:p>
        </w:tc>
        <w:tc>
          <w:tcPr/>
          <w:p>
            <w:pPr>
              <w:pStyle w:val="Compact"/>
            </w:pPr>
            <w:r>
              <w:t xml:space="preserve">API + Logik</w:t>
            </w:r>
          </w:p>
        </w:tc>
        <w:tc>
          <w:tcPr/>
          <w:p>
            <w:pPr>
              <w:pStyle w:val="Compact"/>
            </w:pPr>
            <w:r>
              <w:t xml:space="preserve">EU-Hosting, AVV mit Render abschließen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(React)</w:t>
            </w:r>
          </w:p>
        </w:tc>
        <w:tc>
          <w:tcPr/>
          <w:p>
            <w:pPr>
              <w:pStyle w:val="Compact"/>
            </w:pPr>
            <w:r>
              <w:t xml:space="preserve">Render Inc.</w:t>
            </w:r>
          </w:p>
        </w:tc>
        <w:tc>
          <w:tcPr/>
          <w:p>
            <w:pPr>
              <w:pStyle w:val="Compact"/>
            </w:pPr>
            <w:r>
              <w:t xml:space="preserve">Region Frankfurt (EU)</w:t>
            </w:r>
          </w:p>
        </w:tc>
        <w:tc>
          <w:tcPr/>
          <w:p>
            <w:pPr>
              <w:pStyle w:val="Compact"/>
            </w:pPr>
            <w:r>
              <w:t xml:space="preserve">Statische Auslieferung</w:t>
            </w:r>
          </w:p>
        </w:tc>
        <w:tc>
          <w:tcPr/>
          <w:p>
            <w:pPr>
              <w:pStyle w:val="Compact"/>
            </w:pPr>
            <w:r>
              <w:t xml:space="preserve">EU-Hosting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Datenbank</w:t>
            </w:r>
          </w:p>
        </w:tc>
        <w:tc>
          <w:tcPr/>
          <w:p>
            <w:pPr>
              <w:pStyle w:val="Compact"/>
            </w:pPr>
            <w:r>
              <w:t xml:space="preserve">Render Postgres</w:t>
            </w:r>
          </w:p>
        </w:tc>
        <w:tc>
          <w:tcPr/>
          <w:p>
            <w:pPr>
              <w:pStyle w:val="Compact"/>
            </w:pPr>
            <w:r>
              <w:t xml:space="preserve">EU</w:t>
            </w:r>
          </w:p>
        </w:tc>
        <w:tc>
          <w:tcPr/>
          <w:p>
            <w:pPr>
              <w:pStyle w:val="Compact"/>
            </w:pPr>
            <w:r>
              <w:t xml:space="preserve">Speichert ALLE personenbezogenen Daten</w:t>
            </w:r>
          </w:p>
        </w:tc>
        <w:tc>
          <w:tcPr/>
          <w:p>
            <w:pPr>
              <w:pStyle w:val="Compact"/>
            </w:pPr>
            <w:r>
              <w:t xml:space="preserve">EU-Hosting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Kunden-Websites</w:t>
            </w:r>
          </w:p>
        </w:tc>
        <w:tc>
          <w:tcPr/>
          <w:p>
            <w:pPr>
              <w:pStyle w:val="Compact"/>
            </w:pPr>
            <w:r>
              <w:t xml:space="preserve">Netlify Inc.</w:t>
            </w:r>
          </w:p>
        </w:tc>
        <w:tc>
          <w:tcPr/>
          <w:p>
            <w:pPr>
              <w:pStyle w:val="Compact"/>
            </w:pPr>
            <w:r>
              <w:t xml:space="preserve">USA (CDN global, EU-Edge)</w:t>
            </w:r>
          </w:p>
        </w:tc>
        <w:tc>
          <w:tcPr/>
          <w:p>
            <w:pPr>
              <w:pStyle w:val="Compact"/>
            </w:pPr>
            <w:r>
              <w:t xml:space="preserve">Hosting der vom KAS deployten Kundensites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Drittland</w:t>
            </w:r>
            <w:r>
              <w:t xml:space="preserve"> </w:t>
            </w:r>
            <w:r>
              <w:t xml:space="preserve">— SCCs nötig, AVV mit Netlify Inc.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Geplant: Umami</w:t>
            </w:r>
          </w:p>
        </w:tc>
        <w:tc>
          <w:tcPr/>
          <w:p>
            <w:pPr>
              <w:pStyle w:val="Compact"/>
            </w:pPr>
            <w:r>
              <w:t xml:space="preserve">Render (self-hosted)</w:t>
            </w:r>
          </w:p>
        </w:tc>
        <w:tc>
          <w:tcPr/>
          <w:p>
            <w:pPr>
              <w:pStyle w:val="Compact"/>
            </w:pPr>
            <w:r>
              <w:t xml:space="preserve">EU</w:t>
            </w:r>
          </w:p>
        </w:tc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EU-Hosting nach Setup</w:t>
            </w:r>
          </w:p>
        </w:tc>
      </w:tr>
    </w:tbl>
    <w:p>
      <w:pPr>
        <w:pStyle w:val="BodyText"/>
      </w:pPr>
      <w:r>
        <w:rPr>
          <w:b/>
          <w:bCs/>
        </w:rPr>
        <w:t xml:space="preserve">Render AVV:</w:t>
      </w:r>
      <w:r>
        <w:t xml:space="preserve"> </w:t>
      </w:r>
      <w:hyperlink r:id="rId11">
        <w:r>
          <w:rPr>
            <w:rStyle w:val="Hyperlink"/>
          </w:rPr>
          <w:t xml:space="preserve">render.com/legal/dpa</w:t>
        </w:r>
      </w:hyperlink>
      <w:r>
        <w:t xml:space="preserve"> </w:t>
      </w:r>
      <w:r>
        <w:rPr>
          <w:b/>
          <w:bCs/>
        </w:rPr>
        <w:t xml:space="preserve">Netlify AVV:</w:t>
      </w:r>
      <w:r>
        <w:t xml:space="preserve"> </w:t>
      </w:r>
      <w:hyperlink r:id="rId12">
        <w:r>
          <w:rPr>
            <w:rStyle w:val="Hyperlink"/>
          </w:rPr>
          <w:t xml:space="preserve">netlify.com/gdpr-ccpa</w:t>
        </w:r>
      </w:hyperlink>
    </w:p>
    <w:bookmarkEnd w:id="13"/>
    <w:bookmarkStart w:id="27" w:name="X8ce3dec98611d687b269f0b0adeb91d3cb54e06"/>
    <w:p>
      <w:pPr>
        <w:pStyle w:val="Heading3"/>
      </w:pPr>
      <w:r>
        <w:t xml:space="preserve">A4. Auftragsverarbeiter (Subprocessors) — vollständige Liste</w:t>
      </w:r>
    </w:p>
    <w:bookmarkStart w:id="15" w:name="a41-anthropic-claude-ai"/>
    <w:p>
      <w:pPr>
        <w:pStyle w:val="Heading4"/>
      </w:pPr>
      <w:r>
        <w:t xml:space="preserve">A4.1 Anthropic (Claude AI)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Zweck:</w:t>
      </w:r>
      <w:r>
        <w:t xml:space="preserve"> </w:t>
      </w:r>
      <w:r>
        <w:t xml:space="preserve">KI-Generierung (Content-Texte, Lead-Analyse, Audit-Bewertung, QA-Prüfung, SEO/GEO-Analyse, Briefing-Auswertung)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Sitz:</w:t>
      </w:r>
      <w:r>
        <w:t xml:space="preserve"> </w:t>
      </w:r>
      <w:r>
        <w:t xml:space="preserve">USA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Übermittelte Daten:</w:t>
      </w:r>
      <w:r>
        <w:t xml:space="preserve"> </w:t>
      </w:r>
      <w:r>
        <w:t xml:space="preserve">Lead-Notizen, Briefing-Antworten, Website-Inhalte (gescraped), Audit-Befunde, ggf. Kundennamen + Branchentexte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Drittland:</w:t>
      </w:r>
      <w:r>
        <w:t xml:space="preserve"> </w:t>
      </w:r>
      <w:r>
        <w:t xml:space="preserve">Ja → Standardvertragsklauseln (SCCs) erforderlich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Aufbewahrung bei Anthropic:</w:t>
      </w:r>
      <w:r>
        <w:t xml:space="preserve"> </w:t>
      </w:r>
      <w:r>
        <w:t xml:space="preserve">30 Tage Logs (laut Trust Center, prüfen)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AVV:</w:t>
      </w:r>
      <w:r>
        <w:t xml:space="preserve"> </w:t>
      </w:r>
      <w:hyperlink r:id="rId14">
        <w:r>
          <w:rPr>
            <w:rStyle w:val="Hyperlink"/>
          </w:rPr>
          <w:t xml:space="preserve">anthropic.com/legal/dpa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Code-Referenz:</w:t>
      </w:r>
      <w:r>
        <w:t xml:space="preserve"> </w:t>
      </w:r>
      <w:r>
        <w:rPr>
          <w:rStyle w:val="VerbatimChar"/>
        </w:rPr>
        <w:t xml:space="preserve">kompagnon/backend/agents/content_writer.py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lead_analyst.py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qa_agent.py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review_agent.py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seo_geo_agent.py</w:t>
      </w:r>
    </w:p>
    <w:bookmarkEnd w:id="15"/>
    <w:bookmarkStart w:id="17" w:name="a42-stripe-zahlungsabwicklung"/>
    <w:p>
      <w:pPr>
        <w:pStyle w:val="Heading4"/>
      </w:pPr>
      <w:r>
        <w:t xml:space="preserve">A4.2 Stripe (Zahlungsabwicklung)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Zweck:</w:t>
      </w:r>
      <w:r>
        <w:t xml:space="preserve"> </w:t>
      </w:r>
      <w:r>
        <w:t xml:space="preserve">Subscription-Abrechnung GEO-Add-on, geplant Analytics-Add-on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Sitz:</w:t>
      </w:r>
      <w:r>
        <w:t xml:space="preserve"> </w:t>
      </w:r>
      <w:r>
        <w:t xml:space="preserve">Stripe Payments Europe Ltd. (Irland) / Stripe Inc. (USA)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Übermittelte Daten:</w:t>
      </w:r>
      <w:r>
        <w:t xml:space="preserve"> </w:t>
      </w:r>
      <w:r>
        <w:t xml:space="preserve">Kundenname, E-Mail, Rechnungsadresse, Zahlungsdaten (von Stripe direkt erfasst, nicht über KAS), Stripe-Customer-ID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Drittland:</w:t>
      </w:r>
      <w:r>
        <w:t xml:space="preserve"> </w:t>
      </w:r>
      <w:r>
        <w:t xml:space="preserve">Ja (USA, Stripe Inc.) → SCCs vorhanden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AVV:</w:t>
      </w:r>
      <w:r>
        <w:t xml:space="preserve"> </w:t>
      </w:r>
      <w:hyperlink r:id="rId16">
        <w:r>
          <w:rPr>
            <w:rStyle w:val="Hyperlink"/>
          </w:rPr>
          <w:t xml:space="preserve">stripe.com/legal/dpa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Code-Referenz:</w:t>
      </w:r>
      <w:r>
        <w:t xml:space="preserve"> </w:t>
      </w:r>
      <w:r>
        <w:rPr>
          <w:rStyle w:val="VerbatimChar"/>
        </w:rPr>
        <w:t xml:space="preserve">routers/payments.py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routers/geo_payments.py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services/geo_stripe_helper.py</w:t>
      </w:r>
    </w:p>
    <w:bookmarkEnd w:id="17"/>
    <w:bookmarkStart w:id="19" w:name="a43-brevo-e-mail-marketing--newsletter"/>
    <w:p>
      <w:pPr>
        <w:pStyle w:val="Heading4"/>
      </w:pPr>
      <w:r>
        <w:t xml:space="preserve">A4.3 Brevo (E-Mail-Marketing / Newsletter)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Zweck:</w:t>
      </w:r>
      <w:r>
        <w:t xml:space="preserve"> </w:t>
      </w:r>
      <w:r>
        <w:t xml:space="preserve">Newsletter-Versand, Listen- und Kontakt-Verwaltung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Sitz:</w:t>
      </w:r>
      <w:r>
        <w:t xml:space="preserve"> </w:t>
      </w:r>
      <w:r>
        <w:t xml:space="preserve">Brevo SAS, Paris (EU) — primärer Speicher EU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Übermittelte Daten:</w:t>
      </w:r>
      <w:r>
        <w:t xml:space="preserve"> </w:t>
      </w:r>
      <w:r>
        <w:t xml:space="preserve">E-Mail-Adresse, Vor-/Nachname, Listen-Zugehörigkeit, Klick-/Öffnungs-Tracking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Drittland:</w:t>
      </w:r>
      <w:r>
        <w:t xml:space="preserve"> </w:t>
      </w:r>
      <w:r>
        <w:t xml:space="preserve">Nein (EU)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AVV:</w:t>
      </w:r>
      <w:r>
        <w:t xml:space="preserve"> </w:t>
      </w:r>
      <w:hyperlink r:id="rId18">
        <w:r>
          <w:rPr>
            <w:rStyle w:val="Hyperlink"/>
          </w:rPr>
          <w:t xml:space="preserve">brevo.com/de/legal/agbenddatenschutz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Code-Referenz:</w:t>
      </w:r>
      <w:r>
        <w:t xml:space="preserve"> </w:t>
      </w:r>
      <w:r>
        <w:rPr>
          <w:rStyle w:val="VerbatimChar"/>
        </w:rPr>
        <w:t xml:space="preserve">services/brevo_service.py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routers/newsletter.py</w:t>
      </w:r>
      <w:r>
        <w:t xml:space="preserve">, DB-Spalten</w:t>
      </w:r>
      <w:r>
        <w:t xml:space="preserve"> </w:t>
      </w:r>
      <w:r>
        <w:rPr>
          <w:rStyle w:val="VerbatimChar"/>
        </w:rPr>
        <w:t xml:space="preserve">brevo_campaign_id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brevo_list_id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brevo_contact_id</w:t>
      </w:r>
    </w:p>
    <w:bookmarkEnd w:id="19"/>
    <w:bookmarkStart w:id="20" w:name="X972991cf7f33cc2b8335a56bbf0c7924a125829"/>
    <w:p>
      <w:pPr>
        <w:pStyle w:val="Heading4"/>
      </w:pPr>
      <w:r>
        <w:t xml:space="preserve">A4.4 SMTP-Provider (Transaktionsmails — getrennt von Brevo)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Zweck:</w:t>
      </w:r>
      <w:r>
        <w:t xml:space="preserve"> </w:t>
      </w:r>
      <w:r>
        <w:t xml:space="preserve">Transaktional (Phasen-Updates, Audit-Berichte, Approval-Anfragen, Passwort-Reset)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Anbieter:</w:t>
      </w:r>
      <w:r>
        <w:t xml:space="preserve"> </w:t>
      </w:r>
      <w:r>
        <w:t xml:space="preserve">Gemäß Konfiguration</w:t>
      </w:r>
      <w:r>
        <w:t xml:space="preserve"> </w:t>
      </w:r>
      <w:r>
        <w:rPr>
          <w:rStyle w:val="VerbatimChar"/>
        </w:rPr>
        <w:t xml:space="preserve">SMTP_HOST</w:t>
      </w:r>
      <w:r>
        <w:t xml:space="preserve"> </w:t>
      </w:r>
      <w:r>
        <w:t xml:space="preserve">Env-Variable —</w:t>
      </w:r>
      <w:r>
        <w:t xml:space="preserve"> </w:t>
      </w:r>
      <w:r>
        <w:rPr>
          <w:b/>
          <w:bCs/>
        </w:rPr>
        <w:t xml:space="preserve">vom Inhaber zu ergänzen</w:t>
      </w:r>
      <w:r>
        <w:t xml:space="preserve"> </w:t>
      </w:r>
      <w:r>
        <w:t xml:space="preserve">(z. B. „SMTP über IONOS", „SendGrid", „Brevo Transactional")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Übermittelte Daten:</w:t>
      </w:r>
      <w:r>
        <w:t xml:space="preserve"> </w:t>
      </w:r>
      <w:r>
        <w:t xml:space="preserve">E-Mail-Adresse Empfänger, Inhalt, Anhänge (PDFs)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Code-Referenz:</w:t>
      </w:r>
      <w:r>
        <w:t xml:space="preserve"> </w:t>
      </w:r>
      <w:r>
        <w:rPr>
          <w:rStyle w:val="VerbatimChar"/>
        </w:rPr>
        <w:t xml:space="preserve">services/email.py</w:t>
      </w:r>
    </w:p>
    <w:bookmarkEnd w:id="20"/>
    <w:bookmarkStart w:id="21" w:name="a45-google-pagespeed-insights-api"/>
    <w:p>
      <w:pPr>
        <w:pStyle w:val="Heading4"/>
      </w:pPr>
      <w:r>
        <w:t xml:space="preserve">A4.5 Google PageSpeed Insights API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Zweck:</w:t>
      </w:r>
      <w:r>
        <w:t xml:space="preserve"> </w:t>
      </w:r>
      <w:r>
        <w:t xml:space="preserve">Performance-Messung von Lead-/Kunden-Websites im Audit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Sitz:</w:t>
      </w:r>
      <w:r>
        <w:t xml:space="preserve"> </w:t>
      </w:r>
      <w:r>
        <w:t xml:space="preserve">Google Ireland Ltd. / Google LLC (USA)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Übermittelte Daten:</w:t>
      </w:r>
      <w:r>
        <w:t xml:space="preserve"> </w:t>
      </w:r>
      <w:r>
        <w:t xml:space="preserve">URL der gescannten Website (kein personenbezogener Inhalt — aber Website-URL kann personenbeziehbar sein, z. B. bei Einzelunternehmer-Domains)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Drittland:</w:t>
      </w:r>
      <w:r>
        <w:t xml:space="preserve"> </w:t>
      </w:r>
      <w:r>
        <w:t xml:space="preserve">USA → SCCs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API-Key:</w:t>
      </w:r>
      <w:r>
        <w:t xml:space="preserve"> </w:t>
      </w:r>
      <w:r>
        <w:rPr>
          <w:rStyle w:val="VerbatimChar"/>
        </w:rPr>
        <w:t xml:space="preserve">GOOGLE_PAGESPEED_API_KEY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Code-Referenz:</w:t>
      </w:r>
      <w:r>
        <w:t xml:space="preserve"> </w:t>
      </w:r>
      <w:r>
        <w:t xml:space="preserve">Audit-Pipeline (</w:t>
      </w:r>
      <w:r>
        <w:rPr>
          <w:rStyle w:val="VerbatimChar"/>
        </w:rPr>
        <w:t xml:space="preserve">routers/audit.py</w:t>
      </w:r>
      <w:r>
        <w:t xml:space="preserve">)</w:t>
      </w:r>
    </w:p>
    <w:bookmarkEnd w:id="21"/>
    <w:bookmarkStart w:id="22" w:name="X1ded3a551586846e963a4c55d3a140896eb2eaf"/>
    <w:p>
      <w:pPr>
        <w:pStyle w:val="Heading4"/>
      </w:pPr>
      <w:r>
        <w:t xml:space="preserve">A4.6 Netlify (Site-Hosting für Kunden-Websites)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Zweck:</w:t>
      </w:r>
      <w:r>
        <w:t xml:space="preserve"> </w:t>
      </w:r>
      <w:r>
        <w:t xml:space="preserve">Auslieferung der deployten Kunden-Websites + DNS/SSL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Sitz:</w:t>
      </w:r>
      <w:r>
        <w:t xml:space="preserve"> </w:t>
      </w:r>
      <w:r>
        <w:t xml:space="preserve">Netlify Inc., USA (mit EU-Edge-Servern)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Übermittelte Daten:</w:t>
      </w:r>
      <w:r>
        <w:t xml:space="preserve"> </w:t>
      </w:r>
      <w:r>
        <w:t xml:space="preserve">Website-Inhalte (HTML, Bilder), Custom-Domain, ggf. Besucher-IPs (Server-Logs auf Netlify-Seite)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Drittland:</w:t>
      </w:r>
      <w:r>
        <w:t xml:space="preserve"> </w:t>
      </w:r>
      <w:r>
        <w:t xml:space="preserve">Ja → SCCs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AVV:</w:t>
      </w:r>
      <w:r>
        <w:t xml:space="preserve"> </w:t>
      </w:r>
      <w:r>
        <w:t xml:space="preserve">vorhanden, vom Inhaber abzuschließen falls noch nicht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Code-Referenz:</w:t>
      </w:r>
      <w:r>
        <w:t xml:space="preserve"> </w:t>
      </w:r>
      <w:r>
        <w:rPr>
          <w:rStyle w:val="VerbatimChar"/>
        </w:rPr>
        <w:t xml:space="preserve">services/netlify_service.py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routers/projects.py</w:t>
      </w:r>
      <w:r>
        <w:t xml:space="preserve"> </w:t>
      </w:r>
      <w:r>
        <w:t xml:space="preserve">(Deploy-Endpoints)</w:t>
      </w:r>
    </w:p>
    <w:bookmarkEnd w:id="22"/>
    <w:bookmarkStart w:id="23" w:name="a47-google-fonts-im-frontend"/>
    <w:p>
      <w:pPr>
        <w:pStyle w:val="Heading4"/>
      </w:pPr>
      <w:r>
        <w:t xml:space="preserve">A4.7 Google Fonts (im Frontend)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⚠️ KRITISCH:</w:t>
      </w:r>
      <w:r>
        <w:t xml:space="preserve"> </w:t>
      </w:r>
      <w:r>
        <w:t xml:space="preserve">Im aktuellen</w:t>
      </w:r>
      <w:r>
        <w:t xml:space="preserve"> </w:t>
      </w:r>
      <w:r>
        <w:rPr>
          <w:rStyle w:val="VerbatimChar"/>
        </w:rPr>
        <w:t xml:space="preserve">kompagnon/frontend/public/index.html</w:t>
      </w:r>
      <w:r>
        <w:t xml:space="preserve"> </w:t>
      </w:r>
      <w:r>
        <w:t xml:space="preserve">werden Google Fonts direkt von</w:t>
      </w:r>
      <w:r>
        <w:t xml:space="preserve"> </w:t>
      </w:r>
      <w:r>
        <w:rPr>
          <w:rStyle w:val="VerbatimChar"/>
        </w:rPr>
        <w:t xml:space="preserve">fonts.googleapis.com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fonts.gstatic.com</w:t>
      </w:r>
      <w:r>
        <w:t xml:space="preserve"> </w:t>
      </w:r>
      <w:r>
        <w:t xml:space="preserve">geladen.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Problem:</w:t>
      </w:r>
      <w:r>
        <w:t xml:space="preserve"> </w:t>
      </w:r>
      <w:r>
        <w:t xml:space="preserve">LG München I, Urteil v. 20.01.2022, Az. 3 O 17493/20 — dynamisches Einbetten von Google Fonts ohne Einwilligung = DSGVO-Verstoß, Abmahnrisiko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Lösung:</w:t>
      </w:r>
      <w:r>
        <w:t xml:space="preserve"> </w:t>
      </w:r>
      <w:r>
        <w:t xml:space="preserve">Fonts</w:t>
      </w:r>
      <w:r>
        <w:t xml:space="preserve"> </w:t>
      </w:r>
      <w:r>
        <w:rPr>
          <w:b/>
          <w:bCs/>
        </w:rPr>
        <w:t xml:space="preserve">lokal hosten</w:t>
      </w:r>
      <w:r>
        <w:t xml:space="preserve"> </w:t>
      </w:r>
      <w:r>
        <w:t xml:space="preserve">(per</w:t>
      </w:r>
      <w:r>
        <w:t xml:space="preserve"> </w:t>
      </w:r>
      <w:r>
        <w:rPr>
          <w:rStyle w:val="VerbatimChar"/>
        </w:rPr>
        <w:t xml:space="preserve">npm install @fontsource/...</w:t>
      </w:r>
      <w:r>
        <w:t xml:space="preserve">) oder via Render-CDN ausliefern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Aktion erforderlich:</w:t>
      </w:r>
      <w:r>
        <w:t xml:space="preserve"> </w:t>
      </w:r>
      <w:r>
        <w:t xml:space="preserve">VOR Live-Schaltung der Datenschutzerklärung beheben</w:t>
      </w:r>
    </w:p>
    <w:bookmarkEnd w:id="23"/>
    <w:bookmarkStart w:id="24" w:name="a48-screenshot-services-thumio-microlink"/>
    <w:p>
      <w:pPr>
        <w:pStyle w:val="Heading4"/>
      </w:pPr>
      <w:r>
        <w:t xml:space="preserve">A4.8 Screenshot-Services (thum.io, microlink)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Zweck:</w:t>
      </w:r>
      <w:r>
        <w:t xml:space="preserve"> </w:t>
      </w:r>
      <w:r>
        <w:t xml:space="preserve">Erzeugung von Website-Vorschau-Screenshots im Audit / Mockup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Sitz:</w:t>
      </w:r>
      <w:r>
        <w:t xml:space="preserve"> </w:t>
      </w:r>
      <w:r>
        <w:t xml:space="preserve">beide USA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Übermittelte Daten:</w:t>
      </w:r>
      <w:r>
        <w:t xml:space="preserve"> </w:t>
      </w:r>
      <w:r>
        <w:t xml:space="preserve">URL der Zielseite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Drittland:</w:t>
      </w:r>
      <w:r>
        <w:t xml:space="preserve"> </w:t>
      </w:r>
      <w:r>
        <w:t xml:space="preserve">USA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Code-Referenz:</w:t>
      </w:r>
      <w:r>
        <w:t xml:space="preserve"> </w:t>
      </w:r>
      <w:r>
        <w:rPr>
          <w:rStyle w:val="VerbatimChar"/>
        </w:rPr>
        <w:t xml:space="preserve">routers/audit.py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routers/website_mockup.py</w:t>
      </w:r>
      <w:r>
        <w:t xml:space="preserve"> </w:t>
      </w:r>
      <w:r>
        <w:t xml:space="preserve">(laut grep)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Aktion:</w:t>
      </w:r>
      <w:r>
        <w:t xml:space="preserve"> </w:t>
      </w:r>
      <w:r>
        <w:t xml:space="preserve">Prüfen, ob beide noch aktiv genutzt werden — falls ja, in DSE listen</w:t>
      </w:r>
    </w:p>
    <w:bookmarkEnd w:id="24"/>
    <w:bookmarkStart w:id="25" w:name="a49-trackdesk-affiliate-tracking"/>
    <w:p>
      <w:pPr>
        <w:pStyle w:val="Heading4"/>
      </w:pPr>
      <w:r>
        <w:t xml:space="preserve">A4.9 Trackdesk (Affiliate-Tracking)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Zweck:</w:t>
      </w:r>
      <w:r>
        <w:t xml:space="preserve"> </w:t>
      </w:r>
      <w:r>
        <w:t xml:space="preserve">Webhook-Empfänger für Affiliate-Conversions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Sitz:</w:t>
      </w:r>
      <w:r>
        <w:t xml:space="preserve"> </w:t>
      </w:r>
      <w:r>
        <w:t xml:space="preserve">Trackdesk s.r.o. (Tschechien, EU)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Code-Referenz:</w:t>
      </w:r>
      <w:r>
        <w:t xml:space="preserve"> </w:t>
      </w:r>
      <w:r>
        <w:rPr>
          <w:rStyle w:val="VerbatimChar"/>
        </w:rPr>
        <w:t xml:space="preserve">routers/webhooks_trackdesk.py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Aktion:</w:t>
      </w:r>
      <w:r>
        <w:t xml:space="preserve"> </w:t>
      </w:r>
      <w:r>
        <w:t xml:space="preserve">Prüfen, ob Affiliate-Programm aktiv läuft — falls nein, ggf. Endpoint deaktivieren</w:t>
      </w:r>
    </w:p>
    <w:bookmarkEnd w:id="25"/>
    <w:bookmarkStart w:id="26" w:name="a410-github--git-hosting-quellcode"/>
    <w:p>
      <w:pPr>
        <w:pStyle w:val="Heading4"/>
      </w:pPr>
      <w:r>
        <w:t xml:space="preserve">A4.10 GitHub / git Hosting (Quellcode)</w:t>
      </w:r>
    </w:p>
    <w:p>
      <w:pPr>
        <w:pStyle w:val="Compact"/>
        <w:numPr>
          <w:ilvl w:val="0"/>
          <w:numId w:val="1011"/>
        </w:numPr>
      </w:pPr>
      <w:r>
        <w:t xml:space="preserve">Speichert keine Endkunden-Daten (Code only) → DSGVO</w:t>
      </w:r>
      <w:r>
        <w:t xml:space="preserve"> </w:t>
      </w:r>
      <w:r>
        <w:rPr>
          <w:b/>
          <w:bCs/>
        </w:rPr>
        <w:t xml:space="preserve">nicht relevant</w:t>
      </w:r>
      <w:r>
        <w:t xml:space="preserve"> </w:t>
      </w:r>
      <w:r>
        <w:t xml:space="preserve">für DSE, aber AVV mit GitHub Inc. existiert nicht für Anwendungs-Daten — nur für Repos.</w:t>
      </w:r>
    </w:p>
    <w:bookmarkEnd w:id="26"/>
    <w:bookmarkEnd w:id="27"/>
    <w:bookmarkStart w:id="38" w:name="Xf571a3a2581d5987d53a1091ecd275511d792e7"/>
    <w:p>
      <w:pPr>
        <w:pStyle w:val="Heading3"/>
      </w:pPr>
      <w:r>
        <w:t xml:space="preserve">A5. Verarbeitete Datenkategorien (DB-Schema-Aufschlüsselung)</w:t>
      </w:r>
    </w:p>
    <w:bookmarkStart w:id="28" w:name="a51-login-account-daten--tabelle-users"/>
    <w:p>
      <w:pPr>
        <w:pStyle w:val="Heading4"/>
      </w:pPr>
      <w:r>
        <w:t xml:space="preserve">A5.1 Login-/Account-Daten — Tabelle</w:t>
      </w:r>
      <w:r>
        <w:t xml:space="preserve"> </w:t>
      </w:r>
      <w:r>
        <w:rPr>
          <w:rStyle w:val="VerbatimChar"/>
        </w:rPr>
        <w:t xml:space="preserve">users</w:t>
      </w:r>
    </w:p>
    <w:p>
      <w:pPr>
        <w:pStyle w:val="Compact"/>
        <w:numPr>
          <w:ilvl w:val="0"/>
          <w:numId w:val="1012"/>
        </w:numPr>
      </w:pPr>
      <w:r>
        <w:t xml:space="preserve">Vorname, Nachname, E-Mail, Passwort (gehasht mit bcrypt,</w:t>
      </w:r>
      <w:r>
        <w:t xml:space="preserve"> </w:t>
      </w:r>
      <w:r>
        <w:rPr>
          <w:b/>
          <w:bCs/>
        </w:rPr>
        <w:t xml:space="preserve">nicht</w:t>
      </w:r>
      <w:r>
        <w:t xml:space="preserve"> </w:t>
      </w:r>
      <w:r>
        <w:t xml:space="preserve">im Klartext)</w:t>
      </w:r>
    </w:p>
    <w:p>
      <w:pPr>
        <w:pStyle w:val="Compact"/>
        <w:numPr>
          <w:ilvl w:val="0"/>
          <w:numId w:val="1012"/>
        </w:numPr>
      </w:pPr>
      <w:r>
        <w:t xml:space="preserve">Rolle (admin, auditor, nutzer, kunde, superadmin)</w:t>
      </w:r>
    </w:p>
    <w:p>
      <w:pPr>
        <w:pStyle w:val="Compact"/>
        <w:numPr>
          <w:ilvl w:val="0"/>
          <w:numId w:val="1012"/>
        </w:numPr>
      </w:pPr>
      <w:r>
        <w:t xml:space="preserve">2FA-TOTP-Secret (verschlüsselt, optional aktivierbar)</w:t>
      </w:r>
    </w:p>
    <w:p>
      <w:pPr>
        <w:pStyle w:val="Compact"/>
        <w:numPr>
          <w:ilvl w:val="0"/>
          <w:numId w:val="1012"/>
        </w:numPr>
      </w:pPr>
      <w:r>
        <w:t xml:space="preserve">Letzter Login, Session-Tokens (JWT)</w:t>
      </w:r>
    </w:p>
    <w:p>
      <w:pPr>
        <w:pStyle w:val="Compact"/>
        <w:numPr>
          <w:ilvl w:val="0"/>
          <w:numId w:val="1012"/>
        </w:numPr>
      </w:pPr>
      <w:r>
        <w:t xml:space="preserve">Code:</w:t>
      </w:r>
      <w:r>
        <w:t xml:space="preserve"> </w:t>
      </w:r>
      <w:r>
        <w:rPr>
          <w:rStyle w:val="VerbatimChar"/>
        </w:rPr>
        <w:t xml:space="preserve">database.py:445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</w:t>
      </w:r>
      <w:r>
        <w:t xml:space="preserve">-Klasse),</w:t>
      </w:r>
      <w:r>
        <w:t xml:space="preserve"> </w:t>
      </w:r>
      <w:r>
        <w:rPr>
          <w:rStyle w:val="VerbatimChar"/>
        </w:rPr>
        <w:t xml:space="preserve">auth.py</w:t>
      </w:r>
    </w:p>
    <w:bookmarkEnd w:id="28"/>
    <w:bookmarkStart w:id="29" w:name="X92bf729fd396f7924fa4e8f646a280dc3dc1cac"/>
    <w:p>
      <w:pPr>
        <w:pStyle w:val="Heading4"/>
      </w:pPr>
      <w:r>
        <w:t xml:space="preserve">A5.2 Lead-Daten — Tabelle</w:t>
      </w:r>
      <w:r>
        <w:t xml:space="preserve"> </w:t>
      </w:r>
      <w:r>
        <w:rPr>
          <w:rStyle w:val="VerbatimChar"/>
        </w:rPr>
        <w:t xml:space="preserve">leads</w:t>
      </w:r>
      <w:r>
        <w:t xml:space="preserve"> </w:t>
      </w:r>
      <w:r>
        <w:t xml:space="preserve">(umfangreichster Datensatz)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Feld</w:t>
            </w:r>
          </w:p>
        </w:tc>
        <w:tc>
          <w:tcPr/>
          <w:p>
            <w:pPr>
              <w:pStyle w:val="Compact"/>
            </w:pPr>
            <w:r>
              <w:t xml:space="preserve">Beispiel</w:t>
            </w:r>
          </w:p>
        </w:tc>
        <w:tc>
          <w:tcPr/>
          <w:p>
            <w:pPr>
              <w:pStyle w:val="Compact"/>
            </w:pPr>
            <w:r>
              <w:t xml:space="preserve">Sensibilität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company_name, contact_name</w:t>
            </w:r>
          </w:p>
        </w:tc>
        <w:tc>
          <w:tcPr/>
          <w:p>
            <w:pPr>
              <w:pStyle w:val="Compact"/>
            </w:pPr>
            <w:r>
              <w:t xml:space="preserve">Mustermann GmbH, Max Mustermann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phone, mobile, email</w:t>
            </w:r>
          </w:p>
        </w:tc>
        <w:tc>
          <w:tcPr/>
          <w:p>
            <w:pPr>
              <w:pStyle w:val="Compact"/>
            </w:pPr>
            <w:r>
              <w:t xml:space="preserve">+49…, max@…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website_url, screenshot</w:t>
            </w:r>
          </w:p>
        </w:tc>
        <w:tc>
          <w:tcPr/>
          <w:p>
            <w:pPr>
              <w:pStyle w:val="Compact"/>
            </w:pPr>
            <w:r>
              <w:t xml:space="preserve">URL + Screenshot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street, house_number, postal_code, city</w:t>
            </w:r>
          </w:p>
        </w:tc>
        <w:tc>
          <w:tcPr/>
          <w:p>
            <w:pPr>
              <w:pStyle w:val="Compact"/>
            </w:pPr>
            <w:r>
              <w:t xml:space="preserve">Postanschrift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legal_form, vat_id, register_number, register_court</w:t>
            </w:r>
          </w:p>
        </w:tc>
        <w:tc>
          <w:tcPr/>
          <w:p>
            <w:pPr>
              <w:pStyle w:val="Compact"/>
            </w:pPr>
            <w:r>
              <w:t xml:space="preserve">Firmenrechtl.</w:t>
            </w:r>
          </w:p>
        </w:tc>
        <w:tc>
          <w:tcPr/>
          <w:p>
            <w:pPr>
              <w:pStyle w:val="Compact"/>
            </w:pPr>
            <w:r>
              <w:t xml:space="preserve">Öffentlich, aber strukturiert gespeichert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ceo_first_name, ceo_last_name, geschaeftsfuehrer</w:t>
            </w:r>
          </w:p>
        </w:tc>
        <w:tc>
          <w:tcPr/>
          <w:p>
            <w:pPr>
              <w:pStyle w:val="Compact"/>
            </w:pPr>
            <w:r>
              <w:t xml:space="preserve">Geschäftsführer-Name</w:t>
            </w:r>
          </w:p>
        </w:tc>
        <w:tc>
          <w:tcPr/>
          <w:p>
            <w:pPr>
              <w:pStyle w:val="Compact"/>
            </w:pPr>
            <w:r>
              <w:t xml:space="preserve">Personenbezogen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pagespeed_*, audit-Scores</w:t>
            </w:r>
          </w:p>
        </w:tc>
        <w:tc>
          <w:tcPr/>
          <w:p>
            <w:pPr>
              <w:pStyle w:val="Compact"/>
            </w:pPr>
            <w:r>
              <w:t xml:space="preserve">technische Metriken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brand_logo_url, brand_colors, brand_fonts</w:t>
            </w:r>
          </w:p>
        </w:tc>
        <w:tc>
          <w:tcPr/>
          <w:p>
            <w:pPr>
              <w:pStyle w:val="Compact"/>
            </w:pPr>
            <w:r>
              <w:t xml:space="preserve">Brand-Material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ga_status, ga_measurement_id</w:t>
            </w:r>
          </w:p>
        </w:tc>
        <w:tc>
          <w:tcPr/>
          <w:p>
            <w:pPr>
              <w:pStyle w:val="Compact"/>
            </w:pPr>
            <w:r>
              <w:t xml:space="preserve">Google-Analytics-ID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lead_source, status, notes</w:t>
            </w:r>
          </w:p>
        </w:tc>
        <w:tc>
          <w:tcPr/>
          <w:p>
            <w:pPr>
              <w:pStyle w:val="Compact"/>
            </w:pPr>
            <w:r>
              <w:t xml:space="preserve">Sales-Daten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</w:t>
            </w:r>
            <w:r>
              <w:t xml:space="preserve">, kein Kundenzugriff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customer_token</w:t>
            </w:r>
          </w:p>
        </w:tc>
        <w:tc>
          <w:tcPr/>
          <w:p>
            <w:pPr>
              <w:pStyle w:val="Compact"/>
            </w:pPr>
            <w:r>
              <w:t xml:space="preserve">Token für Kundenportal-Zugang</w:t>
            </w:r>
          </w:p>
        </w:tc>
        <w:tc>
          <w:tcPr/>
          <w:p>
            <w:pPr>
              <w:pStyle w:val="Compact"/>
            </w:pPr>
            <w:r>
              <w:t xml:space="preserve">Geheim, nicht öffentlich</w:t>
            </w:r>
          </w:p>
        </w:tc>
      </w:tr>
    </w:tbl>
    <w:p>
      <w:pPr>
        <w:pStyle w:val="BodyText"/>
      </w:pPr>
      <w:r>
        <w:t xml:space="preserve">Code-Referenz:</w:t>
      </w:r>
      <w:r>
        <w:t xml:space="preserve"> </w:t>
      </w:r>
      <w:r>
        <w:rPr>
          <w:rStyle w:val="VerbatimChar"/>
        </w:rPr>
        <w:t xml:space="preserve">database.py:54–141</w:t>
      </w:r>
    </w:p>
    <w:bookmarkEnd w:id="29"/>
    <w:bookmarkStart w:id="30" w:name="a53-projekt-daten--tabelle-projects"/>
    <w:p>
      <w:pPr>
        <w:pStyle w:val="Heading4"/>
      </w:pPr>
      <w:r>
        <w:t xml:space="preserve">A5.3 Projekt-Daten — Tabelle</w:t>
      </w:r>
      <w:r>
        <w:t xml:space="preserve"> </w:t>
      </w:r>
      <w:r>
        <w:rPr>
          <w:rStyle w:val="VerbatimChar"/>
        </w:rPr>
        <w:t xml:space="preserve">projects</w:t>
      </w:r>
    </w:p>
    <w:p>
      <w:pPr>
        <w:pStyle w:val="Compact"/>
        <w:numPr>
          <w:ilvl w:val="0"/>
          <w:numId w:val="1013"/>
        </w:numPr>
      </w:pPr>
      <w:r>
        <w:t xml:space="preserve">Verknüpft mit Lead, plus: Vertragsdaten (</w:t>
      </w:r>
      <w:r>
        <w:rPr>
          <w:rStyle w:val="VerbatimChar"/>
        </w:rPr>
        <w:t xml:space="preserve">fixed_price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hourly_rate</w:t>
      </w:r>
      <w:r>
        <w:t xml:space="preserve">), Phasen-Status (1–7), Stripe-Subscription-IDs, Netlify-Deploy-Daten, Audit-Ergebnisse, Screenshots before/after</w:t>
      </w:r>
    </w:p>
    <w:bookmarkEnd w:id="30"/>
    <w:bookmarkStart w:id="31" w:name="a54-kundendaten--tabelle-customers"/>
    <w:p>
      <w:pPr>
        <w:pStyle w:val="Heading4"/>
      </w:pPr>
      <w:r>
        <w:t xml:space="preserve">A5.4 Kundendaten — Tabelle</w:t>
      </w:r>
      <w:r>
        <w:t xml:space="preserve"> </w:t>
      </w:r>
      <w:r>
        <w:rPr>
          <w:rStyle w:val="VerbatimChar"/>
        </w:rPr>
        <w:t xml:space="preserve">customers</w:t>
      </w:r>
    </w:p>
    <w:p>
      <w:pPr>
        <w:pStyle w:val="Compact"/>
        <w:numPr>
          <w:ilvl w:val="0"/>
          <w:numId w:val="1014"/>
        </w:numPr>
      </w:pPr>
      <w:r>
        <w:t xml:space="preserve">CMS-Zugangsdaten (URL, Username,</w:t>
      </w:r>
      <w:r>
        <w:t xml:space="preserve"> </w:t>
      </w:r>
      <w:r>
        <w:rPr>
          <w:b/>
          <w:bCs/>
        </w:rPr>
        <w:t xml:space="preserve">Passwort verschlüsselt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cms_password_encrypted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Touchpoint-Tracking, Upsell-Status</w:t>
      </w:r>
    </w:p>
    <w:bookmarkEnd w:id="31"/>
    <w:bookmarkStart w:id="32" w:name="X7b40ad4073acf04891fe5ee1e469fffd293eb30"/>
    <w:p>
      <w:pPr>
        <w:pStyle w:val="Heading4"/>
      </w:pPr>
      <w:r>
        <w:t xml:space="preserve">A5.5 Kommunikationslog — Tabelle</w:t>
      </w:r>
      <w:r>
        <w:t xml:space="preserve"> </w:t>
      </w:r>
      <w:r>
        <w:rPr>
          <w:rStyle w:val="VerbatimChar"/>
        </w:rPr>
        <w:t xml:space="preserve">communications</w:t>
      </w:r>
    </w:p>
    <w:p>
      <w:pPr>
        <w:pStyle w:val="Compact"/>
        <w:numPr>
          <w:ilvl w:val="0"/>
          <w:numId w:val="1015"/>
        </w:numPr>
      </w:pPr>
      <w:r>
        <w:t xml:space="preserve">E-Mail-/Anruf-/Meeting-Protokolle pro Projekt</w:t>
      </w:r>
    </w:p>
    <w:p>
      <w:pPr>
        <w:pStyle w:val="Compact"/>
        <w:numPr>
          <w:ilvl w:val="0"/>
          <w:numId w:val="1015"/>
        </w:numPr>
      </w:pPr>
      <w:r>
        <w:t xml:space="preserve">Subject, Body (max. 500 Zeichen), Richtung, Channel, Zeitpunkt, ob KI-generiert</w:t>
      </w:r>
    </w:p>
    <w:bookmarkEnd w:id="32"/>
    <w:bookmarkStart w:id="33" w:name="X3051d4e530a9e299df563b8245a30e701b2b793"/>
    <w:p>
      <w:pPr>
        <w:pStyle w:val="Heading4"/>
      </w:pPr>
      <w:r>
        <w:t xml:space="preserve">A5.6 Audit-Ergebnisse — Tabelle</w:t>
      </w:r>
      <w:r>
        <w:t xml:space="preserve"> </w:t>
      </w:r>
      <w:r>
        <w:rPr>
          <w:rStyle w:val="VerbatimChar"/>
        </w:rPr>
        <w:t xml:space="preserve">audit_results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Hinweis:</w:t>
      </w:r>
      <w:r>
        <w:t xml:space="preserve"> </w:t>
      </w:r>
      <w:r>
        <w:t xml:space="preserve">Speichert Bewertungen</w:t>
      </w:r>
      <w:r>
        <w:t xml:space="preserve"> </w:t>
      </w:r>
      <w:r>
        <w:rPr>
          <w:b/>
          <w:bCs/>
        </w:rPr>
        <w:t xml:space="preserve">fremder</w:t>
      </w:r>
      <w:r>
        <w:t xml:space="preserve"> </w:t>
      </w:r>
      <w:r>
        <w:t xml:space="preserve">Websites (Lead-Akquise → wir scannen Websites von Interessenten ohne deren expliziten Auftrag)</w:t>
      </w:r>
    </w:p>
    <w:p>
      <w:pPr>
        <w:pStyle w:val="Compact"/>
        <w:numPr>
          <w:ilvl w:val="0"/>
          <w:numId w:val="1016"/>
        </w:numPr>
      </w:pPr>
      <w:r>
        <w:t xml:space="preserve">30+ Bewertungs-Felder (rc_</w:t>
      </w:r>
      <w:r>
        <w:rPr>
          <w:i/>
          <w:iCs/>
        </w:rPr>
        <w:t xml:space="preserve">, tp_</w:t>
      </w:r>
      <w:r>
        <w:t xml:space="preserve">, bf_</w:t>
      </w:r>
      <w:r>
        <w:rPr>
          <w:i/>
          <w:iCs/>
        </w:rPr>
        <w:t xml:space="preserve">, si_</w:t>
      </w:r>
      <w:r>
        <w:t xml:space="preserve">, se_</w:t>
      </w:r>
      <w:r>
        <w:rPr>
          <w:i/>
          <w:iCs/>
        </w:rPr>
        <w:t xml:space="preserve">, ux_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t xml:space="preserve">Rechtsgrundlage hier strittig — siehe A6.4</w:t>
      </w:r>
    </w:p>
    <w:bookmarkEnd w:id="33"/>
    <w:bookmarkStart w:id="34" w:name="X1601262670e6719dc28656d8fe5796c96c57cab"/>
    <w:p>
      <w:pPr>
        <w:pStyle w:val="Heading4"/>
      </w:pPr>
      <w:r>
        <w:t xml:space="preserve">A5.7 Newsletter-Daten — Tabellen</w:t>
      </w:r>
      <w:r>
        <w:t xml:space="preserve"> </w:t>
      </w:r>
      <w:r>
        <w:rPr>
          <w:rStyle w:val="VerbatimChar"/>
        </w:rPr>
        <w:t xml:space="preserve">newsletter_lists</w:t>
      </w:r>
      <w:r>
        <w:t xml:space="preserve">,</w:t>
      </w:r>
      <w:r>
        <w:t xml:space="preserve"> </w:t>
      </w:r>
      <w:r>
        <w:rPr>
          <w:rStyle w:val="VerbatimChar"/>
        </w:rPr>
        <w:t xml:space="preserve">newsletter_contacts</w:t>
      </w:r>
    </w:p>
    <w:p>
      <w:pPr>
        <w:pStyle w:val="Compact"/>
        <w:numPr>
          <w:ilvl w:val="0"/>
          <w:numId w:val="1017"/>
        </w:numPr>
      </w:pPr>
      <w:r>
        <w:t xml:space="preserve">E-Mail, Vor-/Nachname, Listen-Zugehörigkeit, Brevo-IDs</w:t>
      </w:r>
    </w:p>
    <w:bookmarkEnd w:id="34"/>
    <w:bookmarkStart w:id="35" w:name="a58-zeit---aktivitätstracking"/>
    <w:p>
      <w:pPr>
        <w:pStyle w:val="Heading4"/>
      </w:pPr>
      <w:r>
        <w:t xml:space="preserve">A5.8 Zeit- &amp; Aktivitätstracking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time_tracking</w:t>
      </w:r>
      <w:r>
        <w:t xml:space="preserve"> </w:t>
      </w:r>
      <w:r>
        <w:t xml:space="preserve">— wer hat wie viele Stunden geloggt (interne Mitarbeiterdaten — § 26 BDSG zu prüfen)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automation_log</w:t>
      </w:r>
      <w:r>
        <w:t xml:space="preserve"> </w:t>
      </w:r>
      <w:r>
        <w:t xml:space="preserve">— KI-/Automation-Ausführungen</w:t>
      </w:r>
    </w:p>
    <w:bookmarkEnd w:id="35"/>
    <w:bookmarkStart w:id="36" w:name="a59-geo-analysen--tabelle-geo_analyses"/>
    <w:p>
      <w:pPr>
        <w:pStyle w:val="Heading4"/>
      </w:pPr>
      <w:r>
        <w:t xml:space="preserve">A5.9 GEO-Analysen — Tabelle</w:t>
      </w:r>
      <w:r>
        <w:t xml:space="preserve"> </w:t>
      </w:r>
      <w:r>
        <w:rPr>
          <w:rStyle w:val="VerbatimChar"/>
        </w:rPr>
        <w:t xml:space="preserve">geo_analyses</w:t>
      </w:r>
    </w:p>
    <w:p>
      <w:pPr>
        <w:pStyle w:val="Compact"/>
        <w:numPr>
          <w:ilvl w:val="0"/>
          <w:numId w:val="1019"/>
        </w:numPr>
      </w:pPr>
      <w:r>
        <w:t xml:space="preserve">AI-Sichtbarkeits-Analyse für Kundensites, Stripe-Subscription-Daten</w:t>
      </w:r>
    </w:p>
    <w:bookmarkEnd w:id="36"/>
    <w:bookmarkStart w:id="37" w:name="a510-akademie--lernfortschritt"/>
    <w:p>
      <w:pPr>
        <w:pStyle w:val="Heading4"/>
      </w:pPr>
      <w:r>
        <w:t xml:space="preserve">A5.10 Akademie / Lernfortschritt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academy_*</w:t>
      </w:r>
      <w:r>
        <w:t xml:space="preserve"> </w:t>
      </w:r>
      <w:r>
        <w:t xml:space="preserve">Tabellen — Kursfortschritt, Quiz-Antworten, Zertifikate je User</w:t>
      </w:r>
    </w:p>
    <w:bookmarkEnd w:id="37"/>
    <w:bookmarkEnd w:id="38"/>
    <w:bookmarkStart w:id="40" w:name="a6-rechtsgrundlagen-art-6-dsgvo"/>
    <w:p>
      <w:pPr>
        <w:pStyle w:val="Heading3"/>
      </w:pPr>
      <w:r>
        <w:t xml:space="preserve">A6. Rechtsgrundlagen (Art. 6 DSGVO)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Verarbeitung</w:t>
            </w:r>
          </w:p>
        </w:tc>
        <w:tc>
          <w:tcPr/>
          <w:p>
            <w:pPr>
              <w:pStyle w:val="Compact"/>
            </w:pPr>
            <w:r>
              <w:t xml:space="preserve">Rechtsgrundlage</w:t>
            </w:r>
          </w:p>
        </w:tc>
        <w:tc>
          <w:tcPr/>
          <w:p>
            <w:pPr>
              <w:pStyle w:val="Compact"/>
            </w:pPr>
            <w:r>
              <w:t xml:space="preserve">Art.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Account-Anlage / Login</w:t>
            </w:r>
          </w:p>
        </w:tc>
        <w:tc>
          <w:tcPr/>
          <w:p>
            <w:pPr>
              <w:pStyle w:val="Compact"/>
            </w:pPr>
            <w:r>
              <w:t xml:space="preserve">Vertragserfüllung</w:t>
            </w:r>
          </w:p>
        </w:tc>
        <w:tc>
          <w:tcPr/>
          <w:p>
            <w:pPr>
              <w:pStyle w:val="Compact"/>
            </w:pPr>
            <w:r>
              <w:t xml:space="preserve">6 (1)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Auftragsabwicklung Projekt</w:t>
            </w:r>
          </w:p>
        </w:tc>
        <w:tc>
          <w:tcPr/>
          <w:p>
            <w:pPr>
              <w:pStyle w:val="Compact"/>
            </w:pPr>
            <w:r>
              <w:t xml:space="preserve">Vertragserfüllung</w:t>
            </w:r>
          </w:p>
        </w:tc>
        <w:tc>
          <w:tcPr/>
          <w:p>
            <w:pPr>
              <w:pStyle w:val="Compact"/>
            </w:pPr>
            <w:r>
              <w:t xml:space="preserve">6 (1)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Stripe-Zahlungen</w:t>
            </w:r>
          </w:p>
        </w:tc>
        <w:tc>
          <w:tcPr/>
          <w:p>
            <w:pPr>
              <w:pStyle w:val="Compact"/>
            </w:pPr>
            <w:r>
              <w:t xml:space="preserve">Vertragserfüllung</w:t>
            </w:r>
          </w:p>
        </w:tc>
        <w:tc>
          <w:tcPr/>
          <w:p>
            <w:pPr>
              <w:pStyle w:val="Compact"/>
            </w:pPr>
            <w:r>
              <w:t xml:space="preserve">6 (1)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Newsletter-Versand</w:t>
            </w:r>
          </w:p>
        </w:tc>
        <w:tc>
          <w:tcPr/>
          <w:p>
            <w:pPr>
              <w:pStyle w:val="Compact"/>
            </w:pPr>
            <w:r>
              <w:t xml:space="preserve">Einwilligung (Double-Opt-In)</w:t>
            </w:r>
          </w:p>
        </w:tc>
        <w:tc>
          <w:tcPr/>
          <w:p>
            <w:pPr>
              <w:pStyle w:val="Compact"/>
            </w:pPr>
            <w:r>
              <w:t xml:space="preserve">6 (1)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Transaktionsmails (Phasen, Audit-fertig)</w:t>
            </w:r>
          </w:p>
        </w:tc>
        <w:tc>
          <w:tcPr/>
          <w:p>
            <w:pPr>
              <w:pStyle w:val="Compact"/>
            </w:pPr>
            <w:r>
              <w:t xml:space="preserve">Vertragserfüllung</w:t>
            </w:r>
          </w:p>
        </w:tc>
        <w:tc>
          <w:tcPr/>
          <w:p>
            <w:pPr>
              <w:pStyle w:val="Compact"/>
            </w:pPr>
            <w:r>
              <w:t xml:space="preserve">6 (1)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Lead-Akquise (Erstkontakt)</w:t>
            </w:r>
          </w:p>
        </w:tc>
        <w:tc>
          <w:tcPr/>
          <w:p>
            <w:pPr>
              <w:pStyle w:val="Compact"/>
            </w:pPr>
            <w:r>
              <w:t xml:space="preserve">Berechtigtes Interesse / Einwilligung</w:t>
            </w:r>
          </w:p>
        </w:tc>
        <w:tc>
          <w:tcPr/>
          <w:p>
            <w:pPr>
              <w:pStyle w:val="Compact"/>
            </w:pPr>
            <w:r>
              <w:t xml:space="preserve">6 (1) f / 6 (1)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fremder Websites (Pre-Sales)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Strittig — siehe A6.4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2FA / Auth-Logs</w:t>
            </w:r>
          </w:p>
        </w:tc>
        <w:tc>
          <w:tcPr/>
          <w:p>
            <w:pPr>
              <w:pStyle w:val="Compact"/>
            </w:pPr>
            <w:r>
              <w:t xml:space="preserve">Berechtigtes Interesse (Sicherheit)</w:t>
            </w:r>
          </w:p>
        </w:tc>
        <w:tc>
          <w:tcPr/>
          <w:p>
            <w:pPr>
              <w:pStyle w:val="Compact"/>
            </w:pPr>
            <w:r>
              <w:t xml:space="preserve">6 (1) f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Server-Logs</w:t>
            </w:r>
          </w:p>
        </w:tc>
        <w:tc>
          <w:tcPr/>
          <w:p>
            <w:pPr>
              <w:pStyle w:val="Compact"/>
            </w:pPr>
            <w:r>
              <w:t xml:space="preserve">Berechtigtes Interesse (IT-Sicherheit)</w:t>
            </w:r>
          </w:p>
        </w:tc>
        <w:tc>
          <w:tcPr/>
          <w:p>
            <w:pPr>
              <w:pStyle w:val="Compact"/>
            </w:pPr>
            <w:r>
              <w:t xml:space="preserve">6 (1) f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KI-Verarbeitung (Anthropic)</w:t>
            </w:r>
          </w:p>
        </w:tc>
        <w:tc>
          <w:tcPr/>
          <w:p>
            <w:pPr>
              <w:pStyle w:val="Compact"/>
            </w:pPr>
            <w:r>
              <w:t xml:space="preserve">Vertragserfüllung + AVV</w:t>
            </w:r>
          </w:p>
        </w:tc>
        <w:tc>
          <w:tcPr/>
          <w:p>
            <w:pPr>
              <w:pStyle w:val="Compact"/>
            </w:pPr>
            <w:r>
              <w:t xml:space="preserve">6 (1) b + 28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Pflicht-Aufbewahrung (Steuer / HGB)</w:t>
            </w:r>
          </w:p>
        </w:tc>
        <w:tc>
          <w:tcPr/>
          <w:p>
            <w:pPr>
              <w:pStyle w:val="Compact"/>
            </w:pPr>
            <w:r>
              <w:t xml:space="preserve">Rechtliche Verpflichtung</w:t>
            </w:r>
          </w:p>
        </w:tc>
        <w:tc>
          <w:tcPr/>
          <w:p>
            <w:pPr>
              <w:pStyle w:val="Compact"/>
            </w:pPr>
            <w:r>
              <w:t xml:space="preserve">6 (1)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Geplant: Umami-Tracking</w:t>
            </w:r>
          </w:p>
        </w:tc>
        <w:tc>
          <w:tcPr/>
          <w:p>
            <w:pPr>
              <w:pStyle w:val="Compact"/>
            </w:pPr>
            <w:r>
              <w:t xml:space="preserve">Berechtigtes Interesse / Einwilligung</w:t>
            </w:r>
          </w:p>
        </w:tc>
        <w:tc>
          <w:tcPr/>
          <w:p>
            <w:pPr>
              <w:pStyle w:val="Compact"/>
            </w:pPr>
            <w:r>
              <w:t xml:space="preserve">6 (1) f / 6 (1) a</w:t>
            </w:r>
          </w:p>
        </w:tc>
      </w:tr>
    </w:tbl>
    <w:bookmarkStart w:id="39" w:name="X71156e80ac27cd2f441eea38cc6a7a6e467cd99"/>
    <w:p>
      <w:pPr>
        <w:pStyle w:val="Heading4"/>
      </w:pPr>
      <w:r>
        <w:t xml:space="preserve">A6.4 Pre-Sales-Audit fremder Websites — RECHTLICH PRÜFEN</w:t>
      </w:r>
    </w:p>
    <w:p>
      <w:pPr>
        <w:pStyle w:val="FirstParagraph"/>
      </w:pPr>
      <w:r>
        <w:t xml:space="preserve">Das System scannt im Akquiseprozess Websites von Interessenten, die noch kein Vertragsverhältnis haben (</w:t>
      </w:r>
      <w:r>
        <w:rPr>
          <w:rStyle w:val="VerbatimChar"/>
        </w:rPr>
        <w:t xml:space="preserve">audit_results</w:t>
      </w:r>
      <w:r>
        <w:t xml:space="preserve"> </w:t>
      </w:r>
      <w:r>
        <w:t xml:space="preserve">mit</w:t>
      </w:r>
      <w:r>
        <w:t xml:space="preserve"> </w:t>
      </w:r>
      <w:r>
        <w:rPr>
          <w:rStyle w:val="VerbatimChar"/>
        </w:rPr>
        <w:t xml:space="preserve">lead_id</w:t>
      </w:r>
      <w:r>
        <w:t xml:space="preserve">, ohne Kundenstatus). Drei Bewertungen denkbar: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Public-Web-Argument:</w:t>
      </w:r>
      <w:r>
        <w:t xml:space="preserve"> </w:t>
      </w:r>
      <w:r>
        <w:t xml:space="preserve">Inhalte sind öffentlich, keine personenbezogenen Daten betroffen → ggf. zulässig nach Art. 6 (1) f. Für Einzelunternehmer/Selbstständige mit personenbeziehbarer Domain (</w:t>
      </w:r>
      <w:r>
        <w:rPr>
          <w:rStyle w:val="VerbatimChar"/>
        </w:rPr>
        <w:t xml:space="preserve">max-mustermann.de</w:t>
      </w:r>
      <w:r>
        <w:t xml:space="preserve">) jedoch personenbezogen.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Erstkontakt-Argument:</w:t>
      </w:r>
      <w:r>
        <w:t xml:space="preserve"> </w:t>
      </w:r>
      <w:r>
        <w:t xml:space="preserve">Bei Erstkontakt mit Kontaktangebot kann berechtigtes Interesse greifen — aber Interessenabwägung dokumentieren.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Sicherer Weg:</w:t>
      </w:r>
      <w:r>
        <w:t xml:space="preserve"> </w:t>
      </w:r>
      <w:r>
        <w:t xml:space="preserve">Audit erst NACH Erstkontakt + Einwilligung des Lead durchführen.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  <w:bCs/>
        </w:rPr>
        <w:t xml:space="preserve">Mit Anwalt klären:</w:t>
      </w:r>
      <w:r>
        <w:t xml:space="preserve"> </w:t>
      </w:r>
      <w:r>
        <w:t xml:space="preserve">ob Pre-Sales-Audit ohne Einwilligung überhaupt zulässig ist, oder ob Audit erst nach erstem aktiven Kontakt durch den Lead (Formular-Submit) gestartet werden darf.</w:t>
      </w:r>
    </w:p>
    <w:bookmarkEnd w:id="39"/>
    <w:bookmarkEnd w:id="40"/>
    <w:bookmarkStart w:id="41" w:name="X9bc3417e962fa8eeeb62b845522ab6765f11612"/>
    <w:p>
      <w:pPr>
        <w:pStyle w:val="Heading3"/>
      </w:pPr>
      <w:r>
        <w:t xml:space="preserve">A7. Speicherdauern (technisch im Code festzulegen)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Datenkategorie</w:t>
            </w:r>
          </w:p>
        </w:tc>
        <w:tc>
          <w:tcPr/>
          <w:p>
            <w:pPr>
              <w:pStyle w:val="Compact"/>
            </w:pPr>
            <w:r>
              <w:t xml:space="preserve">Empfohlene Frist</w:t>
            </w:r>
          </w:p>
        </w:tc>
        <w:tc>
          <w:tcPr/>
          <w:p>
            <w:pPr>
              <w:pStyle w:val="Compact"/>
            </w:pPr>
            <w:r>
              <w:t xml:space="preserve">Begründung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User-Account (aktiv)</w:t>
            </w:r>
          </w:p>
        </w:tc>
        <w:tc>
          <w:tcPr/>
          <w:p>
            <w:pPr>
              <w:pStyle w:val="Compact"/>
            </w:pPr>
            <w:r>
              <w:t xml:space="preserve">bis zur Kontolöschung</w:t>
            </w:r>
          </w:p>
        </w:tc>
        <w:tc>
          <w:tcPr/>
          <w:p>
            <w:pPr>
              <w:pStyle w:val="Compact"/>
            </w:pPr>
            <w:r>
              <w:t xml:space="preserve">Vertrag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User-Account (inaktiv &gt; 24 Mo)</w:t>
            </w:r>
          </w:p>
        </w:tc>
        <w:tc>
          <w:tcPr/>
          <w:p>
            <w:pPr>
              <w:pStyle w:val="Compact"/>
            </w:pPr>
            <w:r>
              <w:t xml:space="preserve">Anonymisierung empfohlen</w:t>
            </w:r>
          </w:p>
        </w:tc>
        <w:tc>
          <w:tcPr/>
          <w:p>
            <w:pPr>
              <w:pStyle w:val="Compact"/>
            </w:pPr>
            <w:r>
              <w:t xml:space="preserve">Datenminimierung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 (kein Vertrag zustande gekommen)</w:t>
            </w:r>
          </w:p>
        </w:tc>
        <w:tc>
          <w:tcPr/>
          <w:p>
            <w:pPr>
              <w:pStyle w:val="Compact"/>
            </w:pPr>
            <w:r>
              <w:t xml:space="preserve">12 Monate ab letztem Kontakt, dann Löschung</w:t>
            </w:r>
          </w:p>
        </w:tc>
        <w:tc>
          <w:tcPr/>
          <w:p>
            <w:pPr>
              <w:pStyle w:val="Compact"/>
            </w:pPr>
            <w:r>
              <w:t xml:space="preserve">DSGVO Art. 5 (1) 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Projekt-Daten (Vertrag erfüllt)</w:t>
            </w:r>
          </w:p>
        </w:tc>
        <w:tc>
          <w:tcPr/>
          <w:p>
            <w:pPr>
              <w:pStyle w:val="Compact"/>
            </w:pPr>
            <w:r>
              <w:t xml:space="preserve">10 Jahre (HGB § 257, AO § 147)</w:t>
            </w:r>
          </w:p>
        </w:tc>
        <w:tc>
          <w:tcPr/>
          <w:p>
            <w:pPr>
              <w:pStyle w:val="Compact"/>
            </w:pPr>
            <w:r>
              <w:t xml:space="preserve">Steuerrecht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Rechnungen / Stripe-Daten</w:t>
            </w:r>
          </w:p>
        </w:tc>
        <w:tc>
          <w:tcPr/>
          <w:p>
            <w:pPr>
              <w:pStyle w:val="Compact"/>
            </w:pPr>
            <w:r>
              <w:t xml:space="preserve">10 Jahre</w:t>
            </w:r>
          </w:p>
        </w:tc>
        <w:tc>
          <w:tcPr/>
          <w:p>
            <w:pPr>
              <w:pStyle w:val="Compact"/>
            </w:pPr>
            <w:r>
              <w:t xml:space="preserve">Steuerrecht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E-Mail-Kommunikation</w:t>
            </w:r>
          </w:p>
        </w:tc>
        <w:tc>
          <w:tcPr/>
          <w:p>
            <w:pPr>
              <w:pStyle w:val="Compact"/>
            </w:pPr>
            <w:r>
              <w:t xml:space="preserve">6 Jahre (geschäftlicher Schriftverkehr, HGB)</w:t>
            </w:r>
          </w:p>
        </w:tc>
        <w:tc>
          <w:tcPr/>
          <w:p>
            <w:pPr>
              <w:pStyle w:val="Compact"/>
            </w:pPr>
            <w:r>
              <w:t xml:space="preserve">Handelsrecht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Audit-Ergebnisse fremder Sites</w:t>
            </w:r>
          </w:p>
        </w:tc>
        <w:tc>
          <w:tcPr/>
          <w:p>
            <w:pPr>
              <w:pStyle w:val="Compact"/>
            </w:pPr>
            <w:r>
              <w:t xml:space="preserve">90 Tage (wenn ohne Kundenvertrag)</w:t>
            </w:r>
          </w:p>
        </w:tc>
        <w:tc>
          <w:tcPr/>
          <w:p>
            <w:pPr>
              <w:pStyle w:val="Compact"/>
            </w:pPr>
            <w:r>
              <w:t xml:space="preserve">Datenminimierung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Newsletter-Anmeldung</w:t>
            </w:r>
          </w:p>
        </w:tc>
        <w:tc>
          <w:tcPr/>
          <w:p>
            <w:pPr>
              <w:pStyle w:val="Compact"/>
            </w:pPr>
            <w:r>
              <w:t xml:space="preserve">bis Abmeldung + 3 Jahre Beleg</w:t>
            </w:r>
          </w:p>
        </w:tc>
        <w:tc>
          <w:tcPr/>
          <w:p>
            <w:pPr>
              <w:pStyle w:val="Compact"/>
            </w:pPr>
            <w:r>
              <w:t xml:space="preserve">Nachweis Einwilligung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Server-Logs</w:t>
            </w:r>
          </w:p>
        </w:tc>
        <w:tc>
          <w:tcPr/>
          <w:p>
            <w:pPr>
              <w:pStyle w:val="Compact"/>
            </w:pPr>
            <w:r>
              <w:t xml:space="preserve">7–14 Tage</w:t>
            </w:r>
          </w:p>
        </w:tc>
        <w:tc>
          <w:tcPr/>
          <w:p>
            <w:pPr>
              <w:pStyle w:val="Compact"/>
            </w:pPr>
            <w:r>
              <w:t xml:space="preserve">IT-Sicherheit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Session-Tokens (JWT)</w:t>
            </w:r>
          </w:p>
        </w:tc>
        <w:tc>
          <w:tcPr/>
          <w:p>
            <w:pPr>
              <w:pStyle w:val="Compact"/>
            </w:pPr>
            <w:r>
              <w:t xml:space="preserve">gemäß Token-Lifetime (vmtl. 24 h–7 Tage —</w:t>
            </w:r>
            <w:r>
              <w:t xml:space="preserve"> </w:t>
            </w:r>
            <w:r>
              <w:rPr>
                <w:rStyle w:val="VerbatimChar"/>
              </w:rPr>
              <w:t xml:space="preserve">auth.py</w:t>
            </w:r>
            <w:r>
              <w:t xml:space="preserve"> </w:t>
            </w:r>
            <w:r>
              <w:t xml:space="preserve">prüfen)</w:t>
            </w:r>
          </w:p>
        </w:tc>
        <w:tc>
          <w:tcPr/>
          <w:p>
            <w:pPr>
              <w:pStyle w:val="Compact"/>
            </w:pPr>
            <w:r>
              <w:t xml:space="preserve">Sicherheit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Anthropic-Übermittlung</w:t>
            </w:r>
          </w:p>
        </w:tc>
        <w:tc>
          <w:tcPr/>
          <w:p>
            <w:pPr>
              <w:pStyle w:val="Compact"/>
            </w:pPr>
            <w:r>
              <w:t xml:space="preserve">30 Tage (laut Anthropic)</w:t>
            </w:r>
          </w:p>
        </w:tc>
        <w:tc>
          <w:tcPr/>
          <w:p>
            <w:pPr>
              <w:pStyle w:val="Compact"/>
            </w:pPr>
            <w:r>
              <w:t xml:space="preserve">Vertraglich</w:t>
            </w:r>
          </w:p>
        </w:tc>
      </w:tr>
    </w:tbl>
    <w:p>
      <w:pPr>
        <w:pStyle w:val="BodyText"/>
      </w:pPr>
      <w:r>
        <w:rPr>
          <w:b/>
          <w:bCs/>
        </w:rPr>
        <w:t xml:space="preserve">Aktion erforderlich:</w:t>
      </w:r>
      <w:r>
        <w:t xml:space="preserve"> </w:t>
      </w:r>
      <w:r>
        <w:t xml:space="preserve">Automatische Löschroutinen implementieren (Cron-Job in</w:t>
      </w:r>
      <w:r>
        <w:t xml:space="preserve"> </w:t>
      </w:r>
      <w:r>
        <w:rPr>
          <w:rStyle w:val="VerbatimChar"/>
        </w:rPr>
        <w:t xml:space="preserve">automations/scheduler.py</w:t>
      </w:r>
      <w:r>
        <w:t xml:space="preserve">), die Daten nach Frist löschen. Aktuell fehlt: keine</w:t>
      </w:r>
      <w:r>
        <w:t xml:space="preserve"> </w:t>
      </w:r>
      <w:r>
        <w:rPr>
          <w:rStyle w:val="VerbatimChar"/>
        </w:rPr>
        <w:t xml:space="preserve">delete_after_X_days</w:t>
      </w:r>
      <w:r>
        <w:t xml:space="preserve">-Logik im Code gefunden.</w:t>
      </w:r>
    </w:p>
    <w:bookmarkEnd w:id="41"/>
    <w:bookmarkStart w:id="42" w:name="a8-empfänger-kategorien-für-dse-text"/>
    <w:p>
      <w:pPr>
        <w:pStyle w:val="Heading3"/>
      </w:pPr>
      <w:r>
        <w:t xml:space="preserve">A8. Empfänger-Kategorien (für DSE-Text)</w:t>
      </w:r>
    </w:p>
    <w:p>
      <w:pPr>
        <w:pStyle w:val="Compact"/>
        <w:numPr>
          <w:ilvl w:val="0"/>
          <w:numId w:val="1022"/>
        </w:numPr>
      </w:pPr>
      <w:r>
        <w:t xml:space="preserve">IT-Dienstleister (Render, Netlify, Brevo, Stripe, Anthropic, Google, Trackdesk) — siehe A4</w:t>
      </w:r>
    </w:p>
    <w:p>
      <w:pPr>
        <w:pStyle w:val="Compact"/>
        <w:numPr>
          <w:ilvl w:val="0"/>
          <w:numId w:val="1022"/>
        </w:numPr>
      </w:pPr>
      <w:r>
        <w:t xml:space="preserve">Steuerberater (auf Anforderung)</w:t>
      </w:r>
    </w:p>
    <w:p>
      <w:pPr>
        <w:pStyle w:val="Compact"/>
        <w:numPr>
          <w:ilvl w:val="0"/>
          <w:numId w:val="1022"/>
        </w:numPr>
      </w:pPr>
      <w:r>
        <w:t xml:space="preserve">Behörden bei rechtlicher Verpflichtung</w:t>
      </w:r>
    </w:p>
    <w:p>
      <w:pPr>
        <w:pStyle w:val="Compact"/>
        <w:numPr>
          <w:ilvl w:val="0"/>
          <w:numId w:val="1022"/>
        </w:numPr>
      </w:pPr>
      <w:r>
        <w:t xml:space="preserve">Bei Verkauf des Unternehmens: Erwerber</w:t>
      </w:r>
    </w:p>
    <w:bookmarkEnd w:id="42"/>
    <w:bookmarkStart w:id="43" w:name="a9-drittlands-übermittlungen"/>
    <w:p>
      <w:pPr>
        <w:pStyle w:val="Heading3"/>
      </w:pPr>
      <w:r>
        <w:t xml:space="preserve">A9. Drittlands-Übermittlungen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Anbieter</w:t>
            </w:r>
          </w:p>
        </w:tc>
        <w:tc>
          <w:tcPr/>
          <w:p>
            <w:pPr>
              <w:pStyle w:val="Compact"/>
            </w:pPr>
            <w:r>
              <w:t xml:space="preserve">Land</w:t>
            </w:r>
          </w:p>
        </w:tc>
        <w:tc>
          <w:tcPr/>
          <w:p>
            <w:pPr>
              <w:pStyle w:val="Compact"/>
            </w:pPr>
            <w:r>
              <w:t xml:space="preserve">Schutzmechanismus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Anthropic</w:t>
            </w:r>
          </w:p>
        </w:tc>
        <w:tc>
          <w:tcPr/>
          <w:p>
            <w:pPr>
              <w:pStyle w:val="Compact"/>
            </w:pPr>
            <w:r>
              <w:t xml:space="preserve">USA</w:t>
            </w:r>
          </w:p>
        </w:tc>
        <w:tc>
          <w:tcPr/>
          <w:p>
            <w:pPr>
              <w:pStyle w:val="Compact"/>
            </w:pPr>
            <w:r>
              <w:t xml:space="preserve">SCCs + Anthropic DPA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Stripe</w:t>
            </w:r>
          </w:p>
        </w:tc>
        <w:tc>
          <w:tcPr/>
          <w:p>
            <w:pPr>
              <w:pStyle w:val="Compact"/>
            </w:pPr>
            <w:r>
              <w:t xml:space="preserve">USA</w:t>
            </w:r>
          </w:p>
        </w:tc>
        <w:tc>
          <w:tcPr/>
          <w:p>
            <w:pPr>
              <w:pStyle w:val="Compact"/>
            </w:pPr>
            <w:r>
              <w:t xml:space="preserve">SCCs + Stripe DPA + EU-US Data Privacy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PageSpeed</w:t>
            </w:r>
          </w:p>
        </w:tc>
        <w:tc>
          <w:tcPr/>
          <w:p>
            <w:pPr>
              <w:pStyle w:val="Compact"/>
            </w:pPr>
            <w:r>
              <w:t xml:space="preserve">USA</w:t>
            </w:r>
          </w:p>
        </w:tc>
        <w:tc>
          <w:tcPr/>
          <w:p>
            <w:pPr>
              <w:pStyle w:val="Compact"/>
            </w:pPr>
            <w:r>
              <w:t xml:space="preserve">SCCs + Google DPA + EU-US DPF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Fonts (aktuell extern)</w:t>
            </w:r>
          </w:p>
        </w:tc>
        <w:tc>
          <w:tcPr/>
          <w:p>
            <w:pPr>
              <w:pStyle w:val="Compact"/>
            </w:pPr>
            <w:r>
              <w:t xml:space="preserve">USA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siehe A4.7 — beheben!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Netlify</w:t>
            </w:r>
          </w:p>
        </w:tc>
        <w:tc>
          <w:tcPr/>
          <w:p>
            <w:pPr>
              <w:pStyle w:val="Compact"/>
            </w:pPr>
            <w:r>
              <w:t xml:space="preserve">USA</w:t>
            </w:r>
          </w:p>
        </w:tc>
        <w:tc>
          <w:tcPr/>
          <w:p>
            <w:pPr>
              <w:pStyle w:val="Compact"/>
            </w:pPr>
            <w:r>
              <w:t xml:space="preserve">SCCs + Netlify DPA + EU-US DPF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thum.io / microlink</w:t>
            </w:r>
          </w:p>
        </w:tc>
        <w:tc>
          <w:tcPr/>
          <w:p>
            <w:pPr>
              <w:pStyle w:val="Compact"/>
            </w:pPr>
            <w:r>
              <w:t xml:space="preserve">USA</w:t>
            </w:r>
          </w:p>
        </w:tc>
        <w:tc>
          <w:tcPr/>
          <w:p>
            <w:pPr>
              <w:pStyle w:val="Compact"/>
            </w:pPr>
            <w:r>
              <w:t xml:space="preserve">SCCs erforderlich,</w:t>
            </w:r>
            <w:r>
              <w:t xml:space="preserve"> </w:t>
            </w:r>
            <w:r>
              <w:rPr>
                <w:b/>
                <w:bCs/>
              </w:rPr>
              <w:t xml:space="preserve">Status prüfen</w:t>
            </w:r>
          </w:p>
        </w:tc>
      </w:tr>
    </w:tbl>
    <w:bookmarkEnd w:id="43"/>
    <w:bookmarkStart w:id="44" w:name="a10-cookies--localstorage"/>
    <w:p>
      <w:pPr>
        <w:pStyle w:val="Heading3"/>
      </w:pPr>
      <w:r>
        <w:t xml:space="preserve">A10. Cookies / LocalStorage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Speichertyp</w:t>
            </w:r>
          </w:p>
        </w:tc>
        <w:tc>
          <w:tcPr/>
          <w:p>
            <w:pPr>
              <w:pStyle w:val="Compact"/>
            </w:pPr>
            <w:r>
              <w:t xml:space="preserve">Schlüssel</w:t>
            </w:r>
          </w:p>
        </w:tc>
        <w:tc>
          <w:tcPr/>
          <w:p>
            <w:pPr>
              <w:pStyle w:val="Compact"/>
            </w:pPr>
            <w:r>
              <w:t xml:space="preserve">Inhalt</w:t>
            </w:r>
          </w:p>
        </w:tc>
        <w:tc>
          <w:tcPr/>
          <w:p>
            <w:pPr>
              <w:pStyle w:val="Compact"/>
            </w:pPr>
            <w:r>
              <w:t xml:space="preserve">Zweck</w:t>
            </w:r>
          </w:p>
        </w:tc>
        <w:tc>
          <w:tcPr/>
          <w:p>
            <w:pPr>
              <w:pStyle w:val="Compact"/>
            </w:pPr>
            <w:r>
              <w:t xml:space="preserve">Dauer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LocalStorage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kompagnon_token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Auth-Sitzung</w:t>
            </w:r>
          </w:p>
        </w:tc>
        <w:tc>
          <w:tcPr/>
          <w:p>
            <w:pPr>
              <w:pStyle w:val="Compact"/>
            </w:pPr>
            <w:r>
              <w:t xml:space="preserve">bis manuell oder Token-Ablauf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LocalStorage</w:t>
            </w:r>
          </w:p>
        </w:tc>
        <w:tc>
          <w:tcPr/>
          <w:p>
            <w:pPr>
              <w:pStyle w:val="Compact"/>
            </w:pPr>
            <w:r>
              <w:t xml:space="preserve">weitere</w:t>
            </w:r>
            <w:r>
              <w:t xml:space="preserve"> </w:t>
            </w:r>
            <w:r>
              <w:rPr>
                <w:rStyle w:val="VerbatimChar"/>
              </w:rPr>
              <w:t xml:space="preserve">kompagnon_*</w:t>
            </w:r>
          </w:p>
        </w:tc>
        <w:tc>
          <w:tcPr/>
          <w:p>
            <w:pPr>
              <w:pStyle w:val="Compact"/>
            </w:pPr>
            <w:r>
              <w:t xml:space="preserve">UI-State</w:t>
            </w:r>
          </w:p>
        </w:tc>
        <w:tc>
          <w:tcPr/>
          <w:p>
            <w:pPr>
              <w:pStyle w:val="Compact"/>
            </w:pPr>
            <w:r>
              <w:t xml:space="preserve">UX</w:t>
            </w:r>
          </w:p>
        </w:tc>
        <w:tc>
          <w:tcPr/>
          <w:p>
            <w:pPr>
              <w:pStyle w:val="Compact"/>
            </w:pPr>
            <w:r>
              <w:t xml:space="preserve">bis manuell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Cookies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Aktuell keine Tracking-Cookies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Geplant Umami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keine Cookies (cookie-less)</w:t>
            </w:r>
          </w:p>
        </w:tc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/>
          <w:bCs/>
        </w:rPr>
        <w:t xml:space="preserve">Aktuell vermutlich KEIN Cookie-Banner-Pflicht</w:t>
      </w:r>
      <w:r>
        <w:t xml:space="preserve">, da nur funktional notwendiges LocalStorage verwendet wird (Login). Mit Einführung von Analytics oder Marketing-Pixeln wird Banner Pflicht (TTDSG § 25).</w:t>
      </w:r>
    </w:p>
    <w:bookmarkEnd w:id="44"/>
    <w:bookmarkStart w:id="45" w:name="Xa78572ae9f8f2140cea2b12b2c53852c6972cfa"/>
    <w:p>
      <w:pPr>
        <w:pStyle w:val="Heading3"/>
      </w:pPr>
      <w:r>
        <w:t xml:space="preserve">A11. Betroffenenrechte (Standard-Klauseln, müssen aufgeführt werden)</w:t>
      </w:r>
    </w:p>
    <w:p>
      <w:pPr>
        <w:pStyle w:val="Compact"/>
        <w:numPr>
          <w:ilvl w:val="0"/>
          <w:numId w:val="1023"/>
        </w:numPr>
      </w:pPr>
      <w:r>
        <w:t xml:space="preserve">Auskunft (Art. 15 DSGVO)</w:t>
      </w:r>
    </w:p>
    <w:p>
      <w:pPr>
        <w:pStyle w:val="Compact"/>
        <w:numPr>
          <w:ilvl w:val="0"/>
          <w:numId w:val="1023"/>
        </w:numPr>
      </w:pPr>
      <w:r>
        <w:t xml:space="preserve">Berichtigung (Art. 16)</w:t>
      </w:r>
    </w:p>
    <w:p>
      <w:pPr>
        <w:pStyle w:val="Compact"/>
        <w:numPr>
          <w:ilvl w:val="0"/>
          <w:numId w:val="1023"/>
        </w:numPr>
      </w:pPr>
      <w:r>
        <w:t xml:space="preserve">Löschung / „Recht auf Vergessenwerden" (Art. 17)</w:t>
      </w:r>
    </w:p>
    <w:p>
      <w:pPr>
        <w:pStyle w:val="Compact"/>
        <w:numPr>
          <w:ilvl w:val="0"/>
          <w:numId w:val="1023"/>
        </w:numPr>
      </w:pPr>
      <w:r>
        <w:t xml:space="preserve">Einschränkung (Art. 18)</w:t>
      </w:r>
    </w:p>
    <w:p>
      <w:pPr>
        <w:pStyle w:val="Compact"/>
        <w:numPr>
          <w:ilvl w:val="0"/>
          <w:numId w:val="1023"/>
        </w:numPr>
      </w:pPr>
      <w:r>
        <w:t xml:space="preserve">Datenübertragbarkeit (Art. 20)</w:t>
      </w:r>
    </w:p>
    <w:p>
      <w:pPr>
        <w:pStyle w:val="Compact"/>
        <w:numPr>
          <w:ilvl w:val="0"/>
          <w:numId w:val="1023"/>
        </w:numPr>
      </w:pPr>
      <w:r>
        <w:t xml:space="preserve">Widerspruch (Art. 21) — insbesondere bei Direktwerbung</w:t>
      </w:r>
    </w:p>
    <w:p>
      <w:pPr>
        <w:pStyle w:val="Compact"/>
        <w:numPr>
          <w:ilvl w:val="0"/>
          <w:numId w:val="1023"/>
        </w:numPr>
      </w:pPr>
      <w:r>
        <w:t xml:space="preserve">Widerruf einer Einwilligung (Art. 7 (3))</w:t>
      </w:r>
    </w:p>
    <w:p>
      <w:pPr>
        <w:pStyle w:val="Compact"/>
        <w:numPr>
          <w:ilvl w:val="0"/>
          <w:numId w:val="1023"/>
        </w:numPr>
      </w:pPr>
      <w:r>
        <w:t xml:space="preserve">Beschwerde bei der Aufsichtsbehörde — zuständig: Landesdatenschutzbehörde des Firmensitzes</w:t>
      </w:r>
    </w:p>
    <w:p>
      <w:pPr>
        <w:pStyle w:val="FirstParagraph"/>
      </w:pPr>
      <w:r>
        <w:rPr>
          <w:b/>
          <w:bCs/>
        </w:rPr>
        <w:t xml:space="preserve">Aktion:</w:t>
      </w:r>
      <w:r>
        <w:t xml:space="preserve"> </w:t>
      </w:r>
      <w:r>
        <w:t xml:space="preserve">Im KAS einen DSGVO-Workflow implementieren („Daten exportieren" + „Account löschen") — aktuell</w:t>
      </w:r>
      <w:r>
        <w:t xml:space="preserve"> </w:t>
      </w:r>
      <w:r>
        <w:rPr>
          <w:b/>
          <w:bCs/>
        </w:rPr>
        <w:t xml:space="preserve">nicht vorhanden</w:t>
      </w:r>
      <w:r>
        <w:t xml:space="preserve"> </w:t>
      </w:r>
      <w:r>
        <w:t xml:space="preserve">im Code.</w:t>
      </w:r>
    </w:p>
    <w:bookmarkEnd w:id="45"/>
    <w:bookmarkStart w:id="46" w:name="Xa785acc69d6005a1693ffe837e0b5536de685b1"/>
    <w:p>
      <w:pPr>
        <w:pStyle w:val="Heading3"/>
      </w:pPr>
      <w:r>
        <w:t xml:space="preserve">A12. Datensicherheit (technische Maßnahmen — bereits umgesetzt)</w:t>
      </w:r>
    </w:p>
    <w:p>
      <w:pPr>
        <w:pStyle w:val="Compact"/>
        <w:numPr>
          <w:ilvl w:val="0"/>
          <w:numId w:val="1024"/>
        </w:numPr>
      </w:pPr>
      <w:r>
        <w:t xml:space="preserve">TLS-Verschlüsselung (Render erzwingt HTTPS)</w:t>
      </w:r>
    </w:p>
    <w:p>
      <w:pPr>
        <w:pStyle w:val="Compact"/>
        <w:numPr>
          <w:ilvl w:val="0"/>
          <w:numId w:val="1024"/>
        </w:numPr>
      </w:pPr>
      <w:r>
        <w:t xml:space="preserve">Passwort-Hashing: bcrypt v4.0.1 (</w:t>
      </w:r>
      <w:r>
        <w:rPr>
          <w:rStyle w:val="VerbatimChar"/>
        </w:rPr>
        <w:t xml:space="preserve">passlib</w:t>
      </w:r>
      <w:r>
        <w:t xml:space="preserve">)</w:t>
      </w:r>
    </w:p>
    <w:p>
      <w:pPr>
        <w:pStyle w:val="Compact"/>
        <w:numPr>
          <w:ilvl w:val="0"/>
          <w:numId w:val="1024"/>
        </w:numPr>
      </w:pPr>
      <w:r>
        <w:t xml:space="preserve">2FA-TOTP optional aktivierbar (</w:t>
      </w:r>
      <w:r>
        <w:rPr>
          <w:rStyle w:val="VerbatimChar"/>
        </w:rPr>
        <w:t xml:space="preserve">pyotp</w:t>
      </w:r>
      <w:r>
        <w:t xml:space="preserve">)</w:t>
      </w:r>
    </w:p>
    <w:p>
      <w:pPr>
        <w:pStyle w:val="Compact"/>
        <w:numPr>
          <w:ilvl w:val="0"/>
          <w:numId w:val="1024"/>
        </w:numPr>
      </w:pPr>
      <w:r>
        <w:t xml:space="preserve">JWT mit Signatur (</w:t>
      </w:r>
      <w:r>
        <w:rPr>
          <w:rStyle w:val="VerbatimChar"/>
        </w:rPr>
        <w:t xml:space="preserve">SECRET_KEY</w:t>
      </w:r>
      <w:r>
        <w:t xml:space="preserve"> </w:t>
      </w:r>
      <w:r>
        <w:t xml:space="preserve">Env-Var)</w:t>
      </w:r>
    </w:p>
    <w:p>
      <w:pPr>
        <w:pStyle w:val="Compact"/>
        <w:numPr>
          <w:ilvl w:val="0"/>
          <w:numId w:val="1024"/>
        </w:numPr>
      </w:pPr>
      <w:r>
        <w:t xml:space="preserve">CMS-Passwörter verschlüsselt (</w:t>
      </w:r>
      <w:r>
        <w:rPr>
          <w:rStyle w:val="VerbatimChar"/>
        </w:rPr>
        <w:t xml:space="preserve">cms_password_encrypted</w:t>
      </w:r>
      <w:r>
        <w:t xml:space="preserve">)</w:t>
      </w:r>
    </w:p>
    <w:p>
      <w:pPr>
        <w:pStyle w:val="Compact"/>
        <w:numPr>
          <w:ilvl w:val="0"/>
          <w:numId w:val="1024"/>
        </w:numPr>
      </w:pPr>
      <w:r>
        <w:t xml:space="preserve">CORS auf explizite Origins beschränkt (kein</w:t>
      </w:r>
      <w:r>
        <w:t xml:space="preserve"> </w:t>
      </w:r>
      <w:r>
        <w:rPr>
          <w:rStyle w:val="VerbatimChar"/>
        </w:rPr>
        <w:t xml:space="preserve">*</w:t>
      </w:r>
      <w:r>
        <w:t xml:space="preserve">)</w:t>
      </w:r>
    </w:p>
    <w:p>
      <w:pPr>
        <w:pStyle w:val="Compact"/>
        <w:numPr>
          <w:ilvl w:val="0"/>
          <w:numId w:val="1024"/>
        </w:numPr>
      </w:pPr>
      <w:r>
        <w:t xml:space="preserve">Stripe-Webhook-Signaturprüfung (</w:t>
      </w:r>
      <w:r>
        <w:rPr>
          <w:rStyle w:val="VerbatimChar"/>
        </w:rPr>
        <w:t xml:space="preserve">STRIPE_WEBHOOK_SECRET_GEO</w:t>
      </w:r>
      <w:r>
        <w:t xml:space="preserve">)</w:t>
      </w:r>
    </w:p>
    <w:p>
      <w:pPr>
        <w:pStyle w:val="Compact"/>
        <w:numPr>
          <w:ilvl w:val="0"/>
          <w:numId w:val="1024"/>
        </w:numPr>
      </w:pPr>
      <w:r>
        <w:t xml:space="preserve">DB-Backups: Render-Standard (täglich, 7 Tage)</w:t>
      </w:r>
    </w:p>
    <w:p>
      <w:pPr>
        <w:pStyle w:val="Compact"/>
        <w:numPr>
          <w:ilvl w:val="0"/>
          <w:numId w:val="1024"/>
        </w:numPr>
      </w:pPr>
      <w:r>
        <w:t xml:space="preserve">Render Frankfurt = EU-Datenresidenz</w:t>
      </w:r>
    </w:p>
    <w:p>
      <w:pPr>
        <w:pStyle w:val="FirstParagraph"/>
      </w:pPr>
      <w:r>
        <w:rPr>
          <w:b/>
          <w:bCs/>
        </w:rPr>
        <w:t xml:space="preserve">Lücken (Aktion empfohlen):</w:t>
      </w:r>
    </w:p>
    <w:p>
      <w:pPr>
        <w:pStyle w:val="Compact"/>
        <w:numPr>
          <w:ilvl w:val="0"/>
          <w:numId w:val="1025"/>
        </w:numPr>
      </w:pPr>
      <w:r>
        <w:t xml:space="preserve">Rate-Limiting auf Login-Endpoint prüfen</w:t>
      </w:r>
    </w:p>
    <w:p>
      <w:pPr>
        <w:pStyle w:val="Compact"/>
        <w:numPr>
          <w:ilvl w:val="0"/>
          <w:numId w:val="1025"/>
        </w:numPr>
      </w:pPr>
      <w:r>
        <w:t xml:space="preserve">Brute-Force-Protection / Captcha am Login</w:t>
      </w:r>
    </w:p>
    <w:p>
      <w:pPr>
        <w:pStyle w:val="Compact"/>
        <w:numPr>
          <w:ilvl w:val="0"/>
          <w:numId w:val="1025"/>
        </w:numPr>
      </w:pPr>
      <w:r>
        <w:t xml:space="preserve">Audit-Trail für Admin-Zugriffe</w:t>
      </w:r>
    </w:p>
    <w:p>
      <w:pPr>
        <w:pStyle w:val="Compact"/>
        <w:numPr>
          <w:ilvl w:val="0"/>
          <w:numId w:val="1025"/>
        </w:numPr>
      </w:pPr>
      <w:r>
        <w:t xml:space="preserve">Verschlüsselung der DB at rest (Render bietet, prüfen)</w:t>
      </w:r>
    </w:p>
    <w:p>
      <w:pPr>
        <w:pStyle w:val="Compact"/>
        <w:numPr>
          <w:ilvl w:val="0"/>
          <w:numId w:val="1025"/>
        </w:numPr>
      </w:pPr>
      <w:r>
        <w:t xml:space="preserve">Penetration-Test vor Go-Live</w:t>
      </w:r>
    </w:p>
    <w:p>
      <w:pPr>
        <w:pStyle w:val="Compact"/>
        <w:numPr>
          <w:ilvl w:val="0"/>
          <w:numId w:val="1025"/>
        </w:numPr>
      </w:pPr>
      <w:r>
        <w:t xml:space="preserve">ISO 27001 / TISAX nicht erforderlich, aber TOM-Dokumentation Pflicht (Art. 32 DSGVO)</w:t>
      </w:r>
    </w:p>
    <w:bookmarkEnd w:id="46"/>
    <w:bookmarkStart w:id="47" w:name="X483085d73a0d80aaf5c7c4aafa098b365f2bd48"/>
    <w:p>
      <w:pPr>
        <w:pStyle w:val="Heading3"/>
      </w:pPr>
      <w:r>
        <w:t xml:space="preserve">A13. Pflicht-Inhalte einer DSGVO-Datenschutzerklärung (Checkliste)</w:t>
      </w:r>
    </w:p>
    <w:p>
      <w:pPr>
        <w:pStyle w:val="Compact"/>
        <w:numPr>
          <w:ilvl w:val="0"/>
          <w:numId w:val="1026"/>
        </w:numPr>
      </w:pPr>
      <w:r>
        <w:t xml:space="preserve">Name + Anschrift Verantwortlicher (A1)</w:t>
      </w:r>
    </w:p>
    <w:p>
      <w:pPr>
        <w:pStyle w:val="Compact"/>
        <w:numPr>
          <w:ilvl w:val="0"/>
          <w:numId w:val="1027"/>
        </w:numPr>
      </w:pPr>
      <w:r>
        <w:t xml:space="preserve">DSB-Kontaktdaten oder Hinweis, dass keiner bestellt (A2)</w:t>
      </w:r>
    </w:p>
    <w:p>
      <w:pPr>
        <w:pStyle w:val="Compact"/>
        <w:numPr>
          <w:ilvl w:val="0"/>
          <w:numId w:val="1028"/>
        </w:numPr>
      </w:pPr>
      <w:r>
        <w:t xml:space="preserve">Zwecke + Rechtsgrundlagen jeder Verarbeitung (A6)</w:t>
      </w:r>
    </w:p>
    <w:p>
      <w:pPr>
        <w:pStyle w:val="Compact"/>
        <w:numPr>
          <w:ilvl w:val="0"/>
          <w:numId w:val="1029"/>
        </w:numPr>
      </w:pPr>
      <w:r>
        <w:t xml:space="preserve">Empfänger-Kategorien (A8)</w:t>
      </w:r>
    </w:p>
    <w:p>
      <w:pPr>
        <w:pStyle w:val="Compact"/>
        <w:numPr>
          <w:ilvl w:val="0"/>
          <w:numId w:val="1030"/>
        </w:numPr>
      </w:pPr>
      <w:r>
        <w:t xml:space="preserve">Drittlands-Transfers + Schutzmechanismen (A9)</w:t>
      </w:r>
    </w:p>
    <w:p>
      <w:pPr>
        <w:pStyle w:val="Compact"/>
        <w:numPr>
          <w:ilvl w:val="0"/>
          <w:numId w:val="1031"/>
        </w:numPr>
      </w:pPr>
      <w:r>
        <w:t xml:space="preserve">Speicherdauern oder Kriterien dafür (A7)</w:t>
      </w:r>
    </w:p>
    <w:p>
      <w:pPr>
        <w:pStyle w:val="Compact"/>
        <w:numPr>
          <w:ilvl w:val="0"/>
          <w:numId w:val="1032"/>
        </w:numPr>
      </w:pPr>
      <w:r>
        <w:t xml:space="preserve">Betroffenenrechte (A11)</w:t>
      </w:r>
    </w:p>
    <w:p>
      <w:pPr>
        <w:pStyle w:val="Compact"/>
        <w:numPr>
          <w:ilvl w:val="0"/>
          <w:numId w:val="1033"/>
        </w:numPr>
      </w:pPr>
      <w:r>
        <w:t xml:space="preserve">Beschwerderecht bei Aufsichtsbehörde</w:t>
      </w:r>
    </w:p>
    <w:p>
      <w:pPr>
        <w:pStyle w:val="Compact"/>
        <w:numPr>
          <w:ilvl w:val="0"/>
          <w:numId w:val="1034"/>
        </w:numPr>
      </w:pPr>
      <w:r>
        <w:t xml:space="preserve">Widerrufsrecht bei Einwilligung</w:t>
      </w:r>
    </w:p>
    <w:p>
      <w:pPr>
        <w:pStyle w:val="Compact"/>
        <w:numPr>
          <w:ilvl w:val="0"/>
          <w:numId w:val="1035"/>
        </w:numPr>
      </w:pPr>
      <w:r>
        <w:t xml:space="preserve">Hinweis automatisierte Entscheidungsfindung — relevant: KI-Lead-Scoring?</w:t>
      </w:r>
      <w:r>
        <w:t xml:space="preserve"> </w:t>
      </w:r>
      <w:r>
        <w:rPr>
          <w:b/>
          <w:bCs/>
        </w:rPr>
        <w:t xml:space="preserve">(prüfen, vermutlich Profiling im Sinne Art. 22)</w:t>
      </w:r>
    </w:p>
    <w:p>
      <w:pPr>
        <w:pStyle w:val="Compact"/>
        <w:numPr>
          <w:ilvl w:val="0"/>
          <w:numId w:val="1036"/>
        </w:numPr>
      </w:pPr>
      <w:r>
        <w:t xml:space="preserve">Cookie-/Tracking-Hinweise (A10)</w:t>
      </w:r>
    </w:p>
    <w:p>
      <w:pPr>
        <w:pStyle w:val="Compact"/>
        <w:numPr>
          <w:ilvl w:val="0"/>
          <w:numId w:val="1037"/>
        </w:numPr>
      </w:pPr>
      <w:r>
        <w:t xml:space="preserve">Stand der Datenschutzerklärung (Datum)</w:t>
      </w:r>
    </w:p>
    <w:bookmarkEnd w:id="47"/>
    <w:bookmarkStart w:id="48" w:name="Xcf32561f708bde41ae2847fcafddabd8c69ad51"/>
    <w:p>
      <w:pPr>
        <w:pStyle w:val="Heading3"/>
      </w:pPr>
      <w:r>
        <w:t xml:space="preserve">A14. Spezielle Hinweise — KI-Verarbeitung (Anthropic)</w:t>
      </w:r>
    </w:p>
    <w:p>
      <w:pPr>
        <w:pStyle w:val="FirstParagraph"/>
      </w:pPr>
      <w:r>
        <w:t xml:space="preserve">Da KAS umfangreich Claude für Lead-Analyse + Content-Generierung nutzt, sollten in der DSE folgende Punkte stehen:</w:t>
      </w:r>
    </w:p>
    <w:p>
      <w:pPr>
        <w:pStyle w:val="Compact"/>
        <w:numPr>
          <w:ilvl w:val="0"/>
          <w:numId w:val="1038"/>
        </w:numPr>
      </w:pPr>
      <w:r>
        <w:t xml:space="preserve">Welche Daten gehen an Anthropic (Claude)?</w:t>
      </w:r>
    </w:p>
    <w:p>
      <w:pPr>
        <w:pStyle w:val="Compact"/>
        <w:numPr>
          <w:ilvl w:val="1"/>
          <w:numId w:val="1039"/>
        </w:numPr>
      </w:pPr>
      <w:r>
        <w:t xml:space="preserve">Lead-Notizen, Briefing-Antworten, Website-Texte des Leads/Kunden, Audit-Befunde</w:t>
      </w:r>
    </w:p>
    <w:p>
      <w:pPr>
        <w:pStyle w:val="Compact"/>
        <w:numPr>
          <w:ilvl w:val="0"/>
          <w:numId w:val="1038"/>
        </w:numPr>
      </w:pPr>
      <w:r>
        <w:t xml:space="preserve">Profiling-Hinweis (Art. 13 (2) f / 22 DSGVO): Wenn KI-Score in Sales-Entscheidung einfließt → muss offengelegt werden, Logik beschrieben, Widerspruchsrecht gewährt</w:t>
      </w:r>
    </w:p>
    <w:p>
      <w:pPr>
        <w:pStyle w:val="Compact"/>
        <w:numPr>
          <w:ilvl w:val="0"/>
          <w:numId w:val="1038"/>
        </w:numPr>
      </w:pPr>
      <w:r>
        <w:t xml:space="preserve">AI Act (ab 2026 stufenweise wirksam): Lead-Scoring könnte als „limited risk"-System einzustufen sein — Transparenz-Pflicht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75" w:name="X2a54d671b5e640d2ea83d6685513cb4973b79b4"/>
    <w:p>
      <w:pPr>
        <w:pStyle w:val="Heading2"/>
      </w:pPr>
      <w:r>
        <w:t xml:space="preserve">TEIL B — AGB (Allgemeine Geschäftsbedingungen)</w:t>
      </w:r>
    </w:p>
    <w:bookmarkStart w:id="50" w:name="b1-geltungsbereich"/>
    <w:p>
      <w:pPr>
        <w:pStyle w:val="Heading3"/>
      </w:pPr>
      <w:r>
        <w:t xml:space="preserve">B1. Geltungsbereich</w:t>
      </w:r>
    </w:p>
    <w:p>
      <w:pPr>
        <w:pStyle w:val="Compact"/>
        <w:numPr>
          <w:ilvl w:val="0"/>
          <w:numId w:val="1040"/>
        </w:numPr>
      </w:pPr>
      <w:r>
        <w:t xml:space="preserve">KAS bietet Leistungen für</w:t>
      </w:r>
      <w:r>
        <w:t xml:space="preserve"> </w:t>
      </w:r>
      <w:r>
        <w:rPr>
          <w:b/>
          <w:bCs/>
        </w:rPr>
        <w:t xml:space="preserve">Unternehmer</w:t>
      </w:r>
      <w:r>
        <w:t xml:space="preserve"> </w:t>
      </w:r>
      <w:r>
        <w:t xml:space="preserve">(B2B, § 14 BGB) — keine Verbraucher (KI-/Marketing-Automation für Geschäftskunden)</w:t>
      </w:r>
    </w:p>
    <w:p>
      <w:pPr>
        <w:pStyle w:val="Compact"/>
        <w:numPr>
          <w:ilvl w:val="0"/>
          <w:numId w:val="1040"/>
        </w:numPr>
      </w:pPr>
      <w:r>
        <w:t xml:space="preserve">→ AGB als</w:t>
      </w:r>
      <w:r>
        <w:t xml:space="preserve"> </w:t>
      </w:r>
      <w:r>
        <w:rPr>
          <w:b/>
          <w:bCs/>
        </w:rPr>
        <w:t xml:space="preserve">B2B-AGB</w:t>
      </w:r>
      <w:r>
        <w:t xml:space="preserve"> </w:t>
      </w:r>
      <w:r>
        <w:t xml:space="preserve">gestalten (keine Widerrufsbelehrung, kein 14-Tage-Widerrufsrecht für Endverbraucher), klärt aber prüfen lassen je nach Zielgruppe</w:t>
      </w:r>
    </w:p>
    <w:bookmarkEnd w:id="50"/>
    <w:bookmarkStart w:id="54" w:name="b2-vertragsgegenstand--leistungsspektrum"/>
    <w:p>
      <w:pPr>
        <w:pStyle w:val="Heading3"/>
      </w:pPr>
      <w:r>
        <w:t xml:space="preserve">B2. Vertragsgegenstand — Leistungsspektrum</w:t>
      </w:r>
    </w:p>
    <w:p>
      <w:pPr>
        <w:pStyle w:val="FirstParagraph"/>
      </w:pPr>
      <w:r>
        <w:t xml:space="preserve">Aus Code + git log:</w:t>
      </w:r>
    </w:p>
    <w:bookmarkStart w:id="51" w:name="Xceeee6aaf594826d14a9094962332569df5d9a7"/>
    <w:p>
      <w:pPr>
        <w:pStyle w:val="Heading4"/>
      </w:pPr>
      <w:r>
        <w:t xml:space="preserve">B2.1 Hauptleistung „KOMPAGNON Website-Paket"</w:t>
      </w:r>
    </w:p>
    <w:p>
      <w:pPr>
        <w:pStyle w:val="Compact"/>
        <w:numPr>
          <w:ilvl w:val="0"/>
          <w:numId w:val="1041"/>
        </w:numPr>
      </w:pPr>
      <w:r>
        <w:t xml:space="preserve">7-Phasen-Prozess: Akquise → Briefing → Content → Technik → QA → Go-Live → Post-Launch</w:t>
      </w:r>
    </w:p>
    <w:p>
      <w:pPr>
        <w:pStyle w:val="Compact"/>
        <w:numPr>
          <w:ilvl w:val="0"/>
          <w:numId w:val="1041"/>
        </w:numPr>
      </w:pPr>
      <w:r>
        <w:t xml:space="preserve">Inkludiert (laut</w:t>
      </w:r>
      <w:r>
        <w:t xml:space="preserve"> </w:t>
      </w:r>
      <w:r>
        <w:rPr>
          <w:rStyle w:val="VerbatimChar"/>
        </w:rPr>
        <w:t xml:space="preserve">database.py:154</w:t>
      </w:r>
      <w:r>
        <w:t xml:space="preserve"> </w:t>
      </w:r>
      <w:r>
        <w:t xml:space="preserve">Project +</w:t>
      </w:r>
      <w:r>
        <w:t xml:space="preserve"> </w:t>
      </w:r>
      <w:r>
        <w:rPr>
          <w:rStyle w:val="VerbatimChar"/>
        </w:rPr>
        <w:t xml:space="preserve">routers/projects.py</w:t>
      </w:r>
      <w:r>
        <w:t xml:space="preserve">):</w:t>
      </w:r>
    </w:p>
    <w:p>
      <w:pPr>
        <w:pStyle w:val="Compact"/>
        <w:numPr>
          <w:ilvl w:val="1"/>
          <w:numId w:val="1042"/>
        </w:numPr>
      </w:pPr>
      <w:r>
        <w:t xml:space="preserve">Audit der bestehenden Kundenwebsite (PageSpeed, SEO, GEO, Compliance-Check)</w:t>
      </w:r>
    </w:p>
    <w:p>
      <w:pPr>
        <w:pStyle w:val="Compact"/>
        <w:numPr>
          <w:ilvl w:val="1"/>
          <w:numId w:val="1042"/>
        </w:numPr>
      </w:pPr>
      <w:r>
        <w:t xml:space="preserve">Briefing-Wizard mit KI-Auswertung</w:t>
      </w:r>
    </w:p>
    <w:p>
      <w:pPr>
        <w:pStyle w:val="Compact"/>
        <w:numPr>
          <w:ilvl w:val="1"/>
          <w:numId w:val="1042"/>
        </w:numPr>
      </w:pPr>
      <w:r>
        <w:t xml:space="preserve">KI-generierte Inhalte (Texte, Strukturen)</w:t>
      </w:r>
    </w:p>
    <w:p>
      <w:pPr>
        <w:pStyle w:val="Compact"/>
        <w:numPr>
          <w:ilvl w:val="1"/>
          <w:numId w:val="1042"/>
        </w:numPr>
      </w:pPr>
      <w:r>
        <w:t xml:space="preserve">Brand-Design (Farben, Fonts, Logo-Auswertung)</w:t>
      </w:r>
    </w:p>
    <w:p>
      <w:pPr>
        <w:pStyle w:val="Compact"/>
        <w:numPr>
          <w:ilvl w:val="1"/>
          <w:numId w:val="1042"/>
        </w:numPr>
      </w:pPr>
      <w:r>
        <w:t xml:space="preserve">Sitemap + Leistungsseiten-Wizard</w:t>
      </w:r>
    </w:p>
    <w:p>
      <w:pPr>
        <w:pStyle w:val="Compact"/>
        <w:numPr>
          <w:ilvl w:val="1"/>
          <w:numId w:val="1042"/>
        </w:numPr>
      </w:pPr>
      <w:r>
        <w:t xml:space="preserve">Website-Erstellung in GrapesJS-Editor</w:t>
      </w:r>
    </w:p>
    <w:p>
      <w:pPr>
        <w:pStyle w:val="Compact"/>
        <w:numPr>
          <w:ilvl w:val="1"/>
          <w:numId w:val="1042"/>
        </w:numPr>
      </w:pPr>
      <w:r>
        <w:t xml:space="preserve">Deploy auf Netlify mit Custom-Domain + SSL</w:t>
      </w:r>
    </w:p>
    <w:p>
      <w:pPr>
        <w:pStyle w:val="Compact"/>
        <w:numPr>
          <w:ilvl w:val="1"/>
          <w:numId w:val="1042"/>
        </w:numPr>
      </w:pPr>
      <w:r>
        <w:t xml:space="preserve">Festpreis-Modell: Default 2.000 € (Field</w:t>
      </w:r>
      <w:r>
        <w:t xml:space="preserve"> </w:t>
      </w:r>
      <w:r>
        <w:rPr>
          <w:rStyle w:val="VerbatimChar"/>
        </w:rPr>
        <w:t xml:space="preserve">fixed_price</w:t>
      </w:r>
      <w:r>
        <w:t xml:space="preserve">)</w:t>
      </w:r>
    </w:p>
    <w:p>
      <w:pPr>
        <w:pStyle w:val="Compact"/>
        <w:numPr>
          <w:ilvl w:val="1"/>
          <w:numId w:val="1042"/>
        </w:numPr>
      </w:pPr>
      <w:r>
        <w:t xml:space="preserve">Stundensatz für Zusatzleistungen: 45 €/h Default (</w:t>
      </w:r>
      <w:r>
        <w:rPr>
          <w:rStyle w:val="VerbatimChar"/>
        </w:rPr>
        <w:t xml:space="preserve">hourly_rate</w:t>
      </w:r>
      <w:r>
        <w:t xml:space="preserve">)</w:t>
      </w:r>
    </w:p>
    <w:p>
      <w:pPr>
        <w:pStyle w:val="Compact"/>
        <w:numPr>
          <w:ilvl w:val="1"/>
          <w:numId w:val="1042"/>
        </w:numPr>
      </w:pPr>
      <w:r>
        <w:t xml:space="preserve">KI-Tool-Kosten: 50 € Default (</w:t>
      </w:r>
      <w:r>
        <w:rPr>
          <w:rStyle w:val="VerbatimChar"/>
        </w:rPr>
        <w:t xml:space="preserve">ai_tool_costs</w:t>
      </w:r>
      <w:r>
        <w:t xml:space="preserve">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Aktion:</w:t>
      </w:r>
      <w:r>
        <w:t xml:space="preserve"> </w:t>
      </w:r>
      <w:r>
        <w:t xml:space="preserve">Konkrete Pakete + Preise mit dir abstimmen</w:t>
      </w:r>
    </w:p>
    <w:bookmarkEnd w:id="51"/>
    <w:bookmarkStart w:id="52" w:name="b22-add-ons-self-service-buchung"/>
    <w:p>
      <w:pPr>
        <w:pStyle w:val="Heading4"/>
      </w:pPr>
      <w:r>
        <w:t xml:space="preserve">B2.2 Add-Ons (Self-Service-Buchung)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GEO-Add-On</w:t>
      </w:r>
      <w:r>
        <w:t xml:space="preserve"> </w:t>
      </w:r>
      <w:r>
        <w:t xml:space="preserve">(existierend): KI-Sichtbarkeits-Monitoring + Optimierung, monatliche Stripe-Subscription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Analytics-Add-On</w:t>
      </w:r>
      <w:r>
        <w:t xml:space="preserve"> </w:t>
      </w:r>
      <w:r>
        <w:t xml:space="preserve">(geplant, siehe Umami-Plan): Visitor-/Ad-Performance-Tracking, monatliche Stripe-Subscription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Newsletter-Verwaltung</w:t>
      </w:r>
      <w:r>
        <w:t xml:space="preserve"> </w:t>
      </w:r>
      <w:r>
        <w:t xml:space="preserve">(Brevo-Integration): unklar ob Add-On oder im Paket</w:t>
      </w:r>
    </w:p>
    <w:bookmarkEnd w:id="52"/>
    <w:bookmarkStart w:id="53" w:name="Xf254b54306e13b3fe0857aa905dfdf82b5b8937"/>
    <w:p>
      <w:pPr>
        <w:pStyle w:val="Heading4"/>
      </w:pPr>
      <w:r>
        <w:t xml:space="preserve">B2.3 Sonstige Leistungen (Code-belegt, vom Inhaber zu listen)</w:t>
      </w:r>
    </w:p>
    <w:p>
      <w:pPr>
        <w:pStyle w:val="Compact"/>
        <w:numPr>
          <w:ilvl w:val="0"/>
          <w:numId w:val="1044"/>
        </w:numPr>
      </w:pPr>
      <w:r>
        <w:t xml:space="preserve">Lead-Akquise-Service</w:t>
      </w:r>
    </w:p>
    <w:p>
      <w:pPr>
        <w:pStyle w:val="Compact"/>
        <w:numPr>
          <w:ilvl w:val="0"/>
          <w:numId w:val="1044"/>
        </w:numPr>
      </w:pPr>
      <w:r>
        <w:t xml:space="preserve">Akademie / Online-Kurse (</w:t>
      </w:r>
      <w:r>
        <w:rPr>
          <w:rStyle w:val="VerbatimChar"/>
        </w:rPr>
        <w:t xml:space="preserve">academy_*</w:t>
      </w:r>
      <w:r>
        <w:t xml:space="preserve">-Tabellen)</w:t>
      </w:r>
    </w:p>
    <w:p>
      <w:pPr>
        <w:pStyle w:val="Compact"/>
        <w:numPr>
          <w:ilvl w:val="0"/>
          <w:numId w:val="1044"/>
        </w:numPr>
      </w:pPr>
      <w:r>
        <w:t xml:space="preserve">Wartung / Hosting nach Go-Live</w:t>
      </w:r>
    </w:p>
    <w:p>
      <w:pPr>
        <w:pStyle w:val="Compact"/>
        <w:numPr>
          <w:ilvl w:val="0"/>
          <w:numId w:val="1044"/>
        </w:numPr>
      </w:pPr>
      <w:r>
        <w:t xml:space="preserve">CMS-Verwaltung (</w:t>
      </w:r>
      <w:r>
        <w:rPr>
          <w:rStyle w:val="VerbatimChar"/>
        </w:rPr>
        <w:t xml:space="preserve">customers.cms_*</w:t>
      </w:r>
      <w:r>
        <w:t xml:space="preserve">)</w:t>
      </w:r>
    </w:p>
    <w:bookmarkEnd w:id="53"/>
    <w:bookmarkEnd w:id="54"/>
    <w:bookmarkStart w:id="55" w:name="b3-vertragsabschluss"/>
    <w:p>
      <w:pPr>
        <w:pStyle w:val="Heading3"/>
      </w:pPr>
      <w:r>
        <w:t xml:space="preserve">B3. Vertragsabschluss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Online-Buchung:</w:t>
      </w:r>
      <w:r>
        <w:t xml:space="preserve"> </w:t>
      </w:r>
      <w:r>
        <w:t xml:space="preserve">Stripe-Checkout für Add-Ons (GEO, geplant Analytics) → Vertragsabschluss mit Klick „Jetzt buchen" + Zahlung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Hauptleistung:</w:t>
      </w:r>
      <w:r>
        <w:t xml:space="preserve"> </w:t>
      </w:r>
      <w:r>
        <w:t xml:space="preserve">vermutlich Angebot + Auftragsbestätigung außerhalb des Systems → AGB beim Vertragsabschluss zur Kenntnis geben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Mindestlaufzeiten + Kündigung</w:t>
      </w:r>
      <w:r>
        <w:t xml:space="preserve"> </w:t>
      </w:r>
      <w:r>
        <w:t xml:space="preserve">spezifizieren (siehe B6)</w:t>
      </w:r>
    </w:p>
    <w:bookmarkEnd w:id="55"/>
    <w:bookmarkStart w:id="56" w:name="b4-vergütung--zahlungsbedingungen"/>
    <w:p>
      <w:pPr>
        <w:pStyle w:val="Heading3"/>
      </w:pPr>
      <w:r>
        <w:t xml:space="preserve">B4. Vergütung &amp; Zahlungsbedingungen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Festpreise</w:t>
      </w:r>
      <w:r>
        <w:t xml:space="preserve"> </w:t>
      </w:r>
      <w:r>
        <w:t xml:space="preserve">für Hauptleistung — laut Code Default 2.000 €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Subscriptions:</w:t>
      </w:r>
      <w:r>
        <w:t xml:space="preserve"> </w:t>
      </w:r>
      <w:r>
        <w:t xml:space="preserve">monatlich oder jährlich (Stripe), Vorauszahlung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Stundensatz</w:t>
      </w:r>
      <w:r>
        <w:t xml:space="preserve"> </w:t>
      </w:r>
      <w:r>
        <w:t xml:space="preserve">für außerhalb-Scope-Arbeiten: 45 €/h Default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Mahnverfahren</w:t>
      </w:r>
      <w:r>
        <w:t xml:space="preserve"> </w:t>
      </w:r>
      <w:r>
        <w:t xml:space="preserve">klären — nach 14 Tagen Erinnerung, dann Mahnung, dann Inkasso?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Verzugszinsen</w:t>
      </w:r>
      <w:r>
        <w:t xml:space="preserve"> </w:t>
      </w:r>
      <w:r>
        <w:t xml:space="preserve">B2B: 9 Prozentpunkte über Basiszinssatz (§ 288 (2) BGB)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Pauschale § 288 (5) BGB:</w:t>
      </w:r>
      <w:r>
        <w:t xml:space="preserve"> </w:t>
      </w:r>
      <w:r>
        <w:t xml:space="preserve">40 € bei Zahlungsverzug B2B</w:t>
      </w:r>
    </w:p>
    <w:bookmarkEnd w:id="56"/>
    <w:bookmarkStart w:id="57" w:name="b5-mitwirkungspflichten-des-kunden"/>
    <w:p>
      <w:pPr>
        <w:pStyle w:val="Heading3"/>
      </w:pPr>
      <w:r>
        <w:t xml:space="preserve">B5. Mitwirkungspflichten des Kunden</w:t>
      </w:r>
    </w:p>
    <w:p>
      <w:pPr>
        <w:pStyle w:val="Compact"/>
        <w:numPr>
          <w:ilvl w:val="0"/>
          <w:numId w:val="1047"/>
        </w:numPr>
      </w:pPr>
      <w:r>
        <w:t xml:space="preserve">Bereitstellung von Inhalten (Logo, Texte, Bilder, Brand-Material) — wenn nicht bereitgestellt: Kompagnon kann KI-generierte Inhalte verwenden</w:t>
      </w:r>
    </w:p>
    <w:p>
      <w:pPr>
        <w:pStyle w:val="Compact"/>
        <w:numPr>
          <w:ilvl w:val="0"/>
          <w:numId w:val="1047"/>
        </w:numPr>
      </w:pPr>
      <w:r>
        <w:t xml:space="preserve">Freigabe-Prozesse: Phase 5 (QA) erfordert Kundenfreigabe (</w:t>
      </w:r>
      <w:r>
        <w:rPr>
          <w:rStyle w:val="VerbatimChar"/>
        </w:rPr>
        <w:t xml:space="preserve">customer_approved_at</w:t>
      </w:r>
      <w:r>
        <w:t xml:space="preserve"> </w:t>
      </w:r>
      <w:r>
        <w:t xml:space="preserve">im Code)</w:t>
      </w:r>
    </w:p>
    <w:p>
      <w:pPr>
        <w:pStyle w:val="Compact"/>
        <w:numPr>
          <w:ilvl w:val="0"/>
          <w:numId w:val="1047"/>
        </w:numPr>
      </w:pPr>
      <w:r>
        <w:t xml:space="preserve">DNS-Konfiguration durch Kunden bei Custom-Domain (siehe</w:t>
      </w:r>
      <w:r>
        <w:t xml:space="preserve"> </w:t>
      </w:r>
      <w:r>
        <w:rPr>
          <w:rStyle w:val="VerbatimChar"/>
        </w:rPr>
        <w:t xml:space="preserve">netlify-prozess.md</w:t>
      </w:r>
      <w:r>
        <w:t xml:space="preserve"> </w:t>
      </w:r>
      <w:r>
        <w:t xml:space="preserve">Schritt 4)</w:t>
      </w:r>
    </w:p>
    <w:p>
      <w:pPr>
        <w:pStyle w:val="Compact"/>
        <w:numPr>
          <w:ilvl w:val="0"/>
          <w:numId w:val="1047"/>
        </w:numPr>
      </w:pPr>
      <w:r>
        <w:t xml:space="preserve">Mitteilung von Änderungswünschen rechtzeitig (Scope-Creep-Klausel —</w:t>
      </w:r>
      <w:r>
        <w:t xml:space="preserve"> </w:t>
      </w:r>
      <w:r>
        <w:rPr>
          <w:rStyle w:val="VerbatimChar"/>
        </w:rPr>
        <w:t xml:space="preserve">scope_creep_flags</w:t>
      </w:r>
      <w:r>
        <w:t xml:space="preserve"> </w:t>
      </w:r>
      <w:r>
        <w:t xml:space="preserve">im Code)</w:t>
      </w:r>
    </w:p>
    <w:bookmarkEnd w:id="57"/>
    <w:bookmarkStart w:id="61" w:name="b6-vertragsdauer--kündigung"/>
    <w:p>
      <w:pPr>
        <w:pStyle w:val="Heading3"/>
      </w:pPr>
      <w:r>
        <w:t xml:space="preserve">B6. Vertragsdauer + Kündigung</w:t>
      </w:r>
    </w:p>
    <w:bookmarkStart w:id="58" w:name="b61-hauptleistung-projekt"/>
    <w:p>
      <w:pPr>
        <w:pStyle w:val="Heading4"/>
      </w:pPr>
      <w:r>
        <w:t xml:space="preserve">B6.1 Hauptleistung (Projekt)</w:t>
      </w:r>
    </w:p>
    <w:p>
      <w:pPr>
        <w:pStyle w:val="Compact"/>
        <w:numPr>
          <w:ilvl w:val="0"/>
          <w:numId w:val="1048"/>
        </w:numPr>
      </w:pPr>
      <w:r>
        <w:t xml:space="preserve">Endet mit Go-Live + Post-Launch-Phase (Phase 7)</w:t>
      </w:r>
    </w:p>
    <w:p>
      <w:pPr>
        <w:pStyle w:val="Compact"/>
        <w:numPr>
          <w:ilvl w:val="0"/>
          <w:numId w:val="1048"/>
        </w:numPr>
      </w:pPr>
      <w:r>
        <w:t xml:space="preserve">Ggf. Anschlusswartung als separater Vertrag</w:t>
      </w:r>
    </w:p>
    <w:bookmarkEnd w:id="58"/>
    <w:bookmarkStart w:id="59" w:name="b62-subscriptions-add-ons"/>
    <w:p>
      <w:pPr>
        <w:pStyle w:val="Heading4"/>
      </w:pPr>
      <w:r>
        <w:t xml:space="preserve">B6.2 Subscriptions (Add-Ons)</w:t>
      </w:r>
    </w:p>
    <w:p>
      <w:pPr>
        <w:pStyle w:val="Compact"/>
        <w:numPr>
          <w:ilvl w:val="0"/>
          <w:numId w:val="1049"/>
        </w:numPr>
      </w:pPr>
      <w:r>
        <w:t xml:space="preserve">Monatliche Subscription mit monatlicher Kündigungsfrist? Oder jährliche Bindung?</w:t>
      </w:r>
    </w:p>
    <w:p>
      <w:pPr>
        <w:pStyle w:val="Compact"/>
        <w:numPr>
          <w:ilvl w:val="0"/>
          <w:numId w:val="1049"/>
        </w:numPr>
      </w:pPr>
      <w:r>
        <w:t xml:space="preserve">Aktion: pro Add-On festlegen</w:t>
      </w:r>
    </w:p>
    <w:p>
      <w:pPr>
        <w:pStyle w:val="Compact"/>
        <w:numPr>
          <w:ilvl w:val="0"/>
          <w:numId w:val="1049"/>
        </w:numPr>
      </w:pPr>
      <w:r>
        <w:t xml:space="preserve">Jederzeit kündbar zum Ende des Abrechnungszeitraums (Stripe-Standard, im Code prüfen)</w:t>
      </w:r>
    </w:p>
    <w:bookmarkEnd w:id="59"/>
    <w:bookmarkStart w:id="60" w:name="b63-außerordentliche-kündigung"/>
    <w:p>
      <w:pPr>
        <w:pStyle w:val="Heading4"/>
      </w:pPr>
      <w:r>
        <w:t xml:space="preserve">B6.3 Außerordentliche Kündigung</w:t>
      </w:r>
    </w:p>
    <w:p>
      <w:pPr>
        <w:pStyle w:val="Compact"/>
        <w:numPr>
          <w:ilvl w:val="0"/>
          <w:numId w:val="1050"/>
        </w:numPr>
      </w:pPr>
      <w:r>
        <w:t xml:space="preserve">Beidseitig bei wichtigem Grund (§ 314 BGB)</w:t>
      </w:r>
    </w:p>
    <w:p>
      <w:pPr>
        <w:pStyle w:val="Compact"/>
        <w:numPr>
          <w:ilvl w:val="0"/>
          <w:numId w:val="1050"/>
        </w:numPr>
      </w:pPr>
      <w:r>
        <w:t xml:space="preserve">KAS-seitig: bei Zahlungsverzug, Missbrauch, Verstoß gegen TOS</w:t>
      </w:r>
    </w:p>
    <w:bookmarkEnd w:id="60"/>
    <w:bookmarkEnd w:id="61"/>
    <w:bookmarkStart w:id="65" w:name="b7-nutzungsrechte"/>
    <w:p>
      <w:pPr>
        <w:pStyle w:val="Heading3"/>
      </w:pPr>
      <w:r>
        <w:t xml:space="preserve">B7. Nutzungsrechte</w:t>
      </w:r>
    </w:p>
    <w:bookmarkStart w:id="62" w:name="b71-vom-kunden-zu-kompagnon-übertragen"/>
    <w:p>
      <w:pPr>
        <w:pStyle w:val="Heading4"/>
      </w:pPr>
      <w:r>
        <w:t xml:space="preserve">B7.1 Vom Kunden zu Kompagnon übertragen</w:t>
      </w:r>
    </w:p>
    <w:p>
      <w:pPr>
        <w:pStyle w:val="Compact"/>
        <w:numPr>
          <w:ilvl w:val="0"/>
          <w:numId w:val="1051"/>
        </w:numPr>
      </w:pPr>
      <w:r>
        <w:t xml:space="preserve">Nutzung von Logos / Markenmaterial des Kunden für Erbringung der Leistung</w:t>
      </w:r>
    </w:p>
    <w:p>
      <w:pPr>
        <w:pStyle w:val="Compact"/>
        <w:numPr>
          <w:ilvl w:val="0"/>
          <w:numId w:val="1051"/>
        </w:numPr>
      </w:pPr>
      <w:r>
        <w:t xml:space="preserve">Veröffentlichung des Kundenprojekts als Referenz (mit Zustimmung) — opt-in/out</w:t>
      </w:r>
    </w:p>
    <w:bookmarkEnd w:id="62"/>
    <w:bookmarkStart w:id="63" w:name="b72-von-kompagnon-zum-kunden"/>
    <w:p>
      <w:pPr>
        <w:pStyle w:val="Heading4"/>
      </w:pPr>
      <w:r>
        <w:t xml:space="preserve">B7.2 Von Kompagnon zum Kunden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Wichtig</w:t>
      </w:r>
      <w:r>
        <w:t xml:space="preserve">: Wem gehören die finalen Website-Inhalte?</w:t>
      </w:r>
    </w:p>
    <w:p>
      <w:pPr>
        <w:pStyle w:val="Compact"/>
        <w:numPr>
          <w:ilvl w:val="1"/>
          <w:numId w:val="1053"/>
        </w:numPr>
      </w:pPr>
      <w:r>
        <w:t xml:space="preserve">Empfehlung: einfaches, nicht-exklusives Nutzungsrecht zum Betrieb der Website nach vollständiger Bezahlung</w:t>
      </w:r>
    </w:p>
    <w:p>
      <w:pPr>
        <w:pStyle w:val="Compact"/>
        <w:numPr>
          <w:ilvl w:val="1"/>
          <w:numId w:val="1053"/>
        </w:numPr>
      </w:pPr>
      <w:r>
        <w:t xml:space="preserve">GrapesJS-Templates: Nutzungsrecht beim Kunden</w:t>
      </w:r>
    </w:p>
    <w:p>
      <w:pPr>
        <w:pStyle w:val="Compact"/>
        <w:numPr>
          <w:ilvl w:val="1"/>
          <w:numId w:val="1053"/>
        </w:numPr>
      </w:pPr>
      <w:r>
        <w:t xml:space="preserve">KI-generierte Inhalte: bei Kunden, sofern nichts anderes vereinbart</w:t>
      </w:r>
    </w:p>
    <w:p>
      <w:pPr>
        <w:pStyle w:val="Compact"/>
        <w:numPr>
          <w:ilvl w:val="0"/>
          <w:numId w:val="1052"/>
        </w:numPr>
      </w:pPr>
      <w:r>
        <w:t xml:space="preserve">Bei Vertragsende: Export-Möglichkeit + Datenmitnahme</w:t>
      </w:r>
    </w:p>
    <w:bookmarkEnd w:id="63"/>
    <w:bookmarkStart w:id="64" w:name="b73-ki-inhalte"/>
    <w:p>
      <w:pPr>
        <w:pStyle w:val="Heading4"/>
      </w:pPr>
      <w:r>
        <w:t xml:space="preserve">B7.3 KI-Inhalte</w:t>
      </w:r>
    </w:p>
    <w:p>
      <w:pPr>
        <w:pStyle w:val="Compact"/>
        <w:numPr>
          <w:ilvl w:val="0"/>
          <w:numId w:val="1054"/>
        </w:numPr>
      </w:pPr>
      <w:r>
        <w:t xml:space="preserve">Hinweis auf urheberrechtliche Unsicherheit von KI-Generated-Content</w:t>
      </w:r>
    </w:p>
    <w:p>
      <w:pPr>
        <w:pStyle w:val="Compact"/>
        <w:numPr>
          <w:ilvl w:val="0"/>
          <w:numId w:val="1054"/>
        </w:numPr>
      </w:pPr>
      <w:r>
        <w:t xml:space="preserve">Kunde haftet für Veröffentlichung — Kompagnon prüft Plagiate (QA-Agent), kann aber keine 100 %-Garantie geben</w:t>
      </w:r>
    </w:p>
    <w:bookmarkEnd w:id="64"/>
    <w:bookmarkEnd w:id="65"/>
    <w:bookmarkStart w:id="68" w:name="b8-gewährleistung--haftung"/>
    <w:p>
      <w:pPr>
        <w:pStyle w:val="Heading3"/>
      </w:pPr>
      <w:r>
        <w:t xml:space="preserve">B8. Gewährleistung &amp; Haftung</w:t>
      </w:r>
    </w:p>
    <w:bookmarkStart w:id="66" w:name="b81-gewährleistung"/>
    <w:p>
      <w:pPr>
        <w:pStyle w:val="Heading4"/>
      </w:pPr>
      <w:r>
        <w:t xml:space="preserve">B8.1 Gewährleistung</w:t>
      </w:r>
    </w:p>
    <w:p>
      <w:pPr>
        <w:pStyle w:val="Compact"/>
        <w:numPr>
          <w:ilvl w:val="0"/>
          <w:numId w:val="1055"/>
        </w:numPr>
      </w:pPr>
      <w:r>
        <w:t xml:space="preserve">B2B: 1 Jahr (§ 438 BGB analog für Werkvertrag) — bei Software ggf. abkürzbar</w:t>
      </w:r>
    </w:p>
    <w:p>
      <w:pPr>
        <w:pStyle w:val="Compact"/>
        <w:numPr>
          <w:ilvl w:val="0"/>
          <w:numId w:val="1055"/>
        </w:numPr>
      </w:pPr>
      <w:r>
        <w:t xml:space="preserve">Mängelrüge in angemessener Frist (§ 377 HGB für Kaufleute)</w:t>
      </w:r>
    </w:p>
    <w:p>
      <w:pPr>
        <w:pStyle w:val="Compact"/>
        <w:numPr>
          <w:ilvl w:val="0"/>
          <w:numId w:val="1055"/>
        </w:numPr>
      </w:pPr>
      <w:r>
        <w:t xml:space="preserve">Beschränkung auf Nacherfüllung (Nachbesserung / Ersatzlieferung)</w:t>
      </w:r>
    </w:p>
    <w:bookmarkEnd w:id="66"/>
    <w:bookmarkStart w:id="67" w:name="b82-haftung"/>
    <w:p>
      <w:pPr>
        <w:pStyle w:val="Heading4"/>
      </w:pPr>
      <w:r>
        <w:t xml:space="preserve">B8.2 Haftung</w:t>
      </w:r>
    </w:p>
    <w:p>
      <w:pPr>
        <w:pStyle w:val="Compact"/>
        <w:numPr>
          <w:ilvl w:val="0"/>
          <w:numId w:val="1056"/>
        </w:numPr>
      </w:pPr>
      <w:r>
        <w:t xml:space="preserve">Standard-Haftungsausschluss für leichte Fahrlässigkeit</w:t>
      </w:r>
    </w:p>
    <w:p>
      <w:pPr>
        <w:pStyle w:val="Compact"/>
        <w:numPr>
          <w:ilvl w:val="0"/>
          <w:numId w:val="1056"/>
        </w:numPr>
      </w:pPr>
      <w:r>
        <w:t xml:space="preserve">Volle Haftung bei Vorsatz, grober Fahrlässigkeit, Verletzung Leben/Körper/Gesundheit, Kardinalpflichten</w:t>
      </w:r>
    </w:p>
    <w:p>
      <w:pPr>
        <w:pStyle w:val="Compact"/>
        <w:numPr>
          <w:ilvl w:val="0"/>
          <w:numId w:val="1056"/>
        </w:numPr>
      </w:pPr>
      <w:r>
        <w:t xml:space="preserve">Kardinalpflichten: vertragstypische Hauptleistung — auf vorhersehbaren typischen Schaden begrenzen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Empfohlene Haftungssumme:</w:t>
      </w:r>
      <w:r>
        <w:t xml:space="preserve"> </w:t>
      </w:r>
      <w:r>
        <w:t xml:space="preserve">Höhe der jeweils gezahlten Vergütung im laufenden Vertragsjahr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AUSSCHLUSS:</w:t>
      </w:r>
      <w:r>
        <w:t xml:space="preserve"> </w:t>
      </w:r>
      <w:r>
        <w:t xml:space="preserve">für Schäden durch KI-generierte Inhalte (Halluzinationen, falsche Aussagen) — Kunde verantwortlich für Final-Check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AUSSCHLUSS:</w:t>
      </w:r>
      <w:r>
        <w:t xml:space="preserve"> </w:t>
      </w:r>
      <w:r>
        <w:t xml:space="preserve">für Ausfallzeiten von Subprocessors (Render, Netlify, Stripe, Brevo, Anthropic) — Force Majeure</w:t>
      </w:r>
    </w:p>
    <w:bookmarkEnd w:id="67"/>
    <w:bookmarkEnd w:id="68"/>
    <w:bookmarkStart w:id="69" w:name="b9-verfügbarkeit--sla"/>
    <w:p>
      <w:pPr>
        <w:pStyle w:val="Heading3"/>
      </w:pPr>
      <w:r>
        <w:t xml:space="preserve">B9. Verfügbarkeit / SLA</w:t>
      </w:r>
    </w:p>
    <w:p>
      <w:pPr>
        <w:pStyle w:val="Compact"/>
        <w:numPr>
          <w:ilvl w:val="0"/>
          <w:numId w:val="1057"/>
        </w:numPr>
      </w:pPr>
      <w:r>
        <w:t xml:space="preserve">KAS ist auf 99,5 % Verfügbarkeit optimiert (Render-Standard), aber</w:t>
      </w:r>
      <w:r>
        <w:t xml:space="preserve"> </w:t>
      </w:r>
      <w:r>
        <w:rPr>
          <w:b/>
          <w:bCs/>
        </w:rPr>
        <w:t xml:space="preserve">kein SLA</w:t>
      </w:r>
      <w:r>
        <w:t xml:space="preserve"> </w:t>
      </w:r>
      <w:r>
        <w:t xml:space="preserve">ohne separate Vereinbarung</w:t>
      </w:r>
    </w:p>
    <w:p>
      <w:pPr>
        <w:pStyle w:val="Compact"/>
        <w:numPr>
          <w:ilvl w:val="0"/>
          <w:numId w:val="1057"/>
        </w:numPr>
      </w:pPr>
      <w:r>
        <w:t xml:space="preserve">Wartungsfenster: Bekanntgabe X Tage vorher (z. B. „Wartung max. 4 h/Monat, sonntags")</w:t>
      </w:r>
    </w:p>
    <w:p>
      <w:pPr>
        <w:pStyle w:val="Compact"/>
        <w:numPr>
          <w:ilvl w:val="0"/>
          <w:numId w:val="1057"/>
        </w:numPr>
      </w:pPr>
      <w:r>
        <w:t xml:space="preserve">Subprocessors-Ausfälle (Render, Stripe, etc.) sind nicht Kompagnons Risiko</w:t>
      </w:r>
    </w:p>
    <w:bookmarkEnd w:id="69"/>
    <w:bookmarkStart w:id="70" w:name="b10-datenschutz--avv"/>
    <w:p>
      <w:pPr>
        <w:pStyle w:val="Heading3"/>
      </w:pPr>
      <w:r>
        <w:t xml:space="preserve">B10. Datenschutz / AVV</w:t>
      </w:r>
    </w:p>
    <w:p>
      <w:pPr>
        <w:pStyle w:val="Compact"/>
        <w:numPr>
          <w:ilvl w:val="0"/>
          <w:numId w:val="1058"/>
        </w:numPr>
      </w:pPr>
      <w:r>
        <w:t xml:space="preserve">Verweis auf Datenschutzerklärung</w:t>
      </w:r>
    </w:p>
    <w:p>
      <w:pPr>
        <w:pStyle w:val="Compact"/>
        <w:numPr>
          <w:ilvl w:val="0"/>
          <w:numId w:val="1058"/>
        </w:numPr>
      </w:pPr>
      <w:r>
        <w:t xml:space="preserve">Auftragsverarbeitungsvertrag (AVV) mit Kunde abschließen wenn KAS personenbezogene Daten</w:t>
      </w:r>
      <w:r>
        <w:t xml:space="preserve"> </w:t>
      </w:r>
      <w:r>
        <w:rPr>
          <w:b/>
          <w:bCs/>
        </w:rPr>
        <w:t xml:space="preserve">im Auftrag des Kunden</w:t>
      </w:r>
      <w:r>
        <w:t xml:space="preserve"> </w:t>
      </w:r>
      <w:r>
        <w:t xml:space="preserve">verarbeitet (z. B. Newsletter-Versand → Kompagnon = Auftragsverarbeiter des Kunden, der Listen-Hoheit hat)</w:t>
      </w:r>
    </w:p>
    <w:p>
      <w:pPr>
        <w:pStyle w:val="Compact"/>
        <w:numPr>
          <w:ilvl w:val="0"/>
          <w:numId w:val="1058"/>
        </w:numPr>
      </w:pPr>
      <w:r>
        <w:t xml:space="preserve">AVV-Vorlage: Kombination der Templates von DSK / GDD / activeMind verwenden</w:t>
      </w:r>
    </w:p>
    <w:bookmarkEnd w:id="70"/>
    <w:bookmarkStart w:id="71" w:name="b11-geheimhaltung"/>
    <w:p>
      <w:pPr>
        <w:pStyle w:val="Heading3"/>
      </w:pPr>
      <w:r>
        <w:t xml:space="preserve">B11. Geheimhaltung</w:t>
      </w:r>
    </w:p>
    <w:p>
      <w:pPr>
        <w:pStyle w:val="Compact"/>
        <w:numPr>
          <w:ilvl w:val="0"/>
          <w:numId w:val="1059"/>
        </w:numPr>
      </w:pPr>
      <w:r>
        <w:t xml:space="preserve">Beidseitige Geheimhaltung über Geschäftsgeheimnisse</w:t>
      </w:r>
    </w:p>
    <w:p>
      <w:pPr>
        <w:pStyle w:val="Compact"/>
        <w:numPr>
          <w:ilvl w:val="0"/>
          <w:numId w:val="1059"/>
        </w:numPr>
      </w:pPr>
      <w:r>
        <w:t xml:space="preserve">Dauer: Vertragslaufzeit + 3 Jahre nach Ende</w:t>
      </w:r>
    </w:p>
    <w:p>
      <w:pPr>
        <w:pStyle w:val="Compact"/>
        <w:numPr>
          <w:ilvl w:val="0"/>
          <w:numId w:val="1059"/>
        </w:numPr>
      </w:pPr>
      <w:r>
        <w:t xml:space="preserve">Ausnahmen: öffentlich Bekanntes, gesetzlich Vorgeschriebenes</w:t>
      </w:r>
    </w:p>
    <w:bookmarkEnd w:id="71"/>
    <w:bookmarkStart w:id="72" w:name="b12-schlussbestimmungen"/>
    <w:p>
      <w:pPr>
        <w:pStyle w:val="Heading3"/>
      </w:pPr>
      <w:r>
        <w:t xml:space="preserve">B12. Schlussbestimmungen</w:t>
      </w:r>
    </w:p>
    <w:p>
      <w:pPr>
        <w:pStyle w:val="Compact"/>
        <w:numPr>
          <w:ilvl w:val="0"/>
          <w:numId w:val="1060"/>
        </w:numPr>
      </w:pPr>
      <w:r>
        <w:t xml:space="preserve">Anwendbares Recht: deutsches Recht, ausschluss UN-Kaufrecht</w:t>
      </w:r>
    </w:p>
    <w:p>
      <w:pPr>
        <w:pStyle w:val="Compact"/>
        <w:numPr>
          <w:ilvl w:val="0"/>
          <w:numId w:val="1060"/>
        </w:numPr>
      </w:pPr>
      <w:r>
        <w:t xml:space="preserve">Gerichtsstand: Sitz des Verantwortlichen, B2B</w:t>
      </w:r>
    </w:p>
    <w:p>
      <w:pPr>
        <w:pStyle w:val="Compact"/>
        <w:numPr>
          <w:ilvl w:val="0"/>
          <w:numId w:val="1060"/>
        </w:numPr>
      </w:pPr>
      <w:r>
        <w:t xml:space="preserve">Schriftformklausel</w:t>
      </w:r>
    </w:p>
    <w:p>
      <w:pPr>
        <w:pStyle w:val="Compact"/>
        <w:numPr>
          <w:ilvl w:val="0"/>
          <w:numId w:val="1060"/>
        </w:numPr>
      </w:pPr>
      <w:r>
        <w:t xml:space="preserve">Salvatorische Klausel</w:t>
      </w:r>
    </w:p>
    <w:p>
      <w:pPr>
        <w:pStyle w:val="Compact"/>
        <w:numPr>
          <w:ilvl w:val="0"/>
          <w:numId w:val="1060"/>
        </w:numPr>
      </w:pPr>
      <w:r>
        <w:t xml:space="preserve">Änderungsklausel: Änderungen mit Frist X Wochen ankündigen, Widerspruchsmöglichkeit</w:t>
      </w:r>
    </w:p>
    <w:bookmarkEnd w:id="72"/>
    <w:bookmarkStart w:id="73" w:name="b13-widerrufsbelehrung"/>
    <w:p>
      <w:pPr>
        <w:pStyle w:val="Heading3"/>
      </w:pPr>
      <w:r>
        <w:t xml:space="preserve">B13. Widerrufsbelehrung</w:t>
      </w:r>
    </w:p>
    <w:p>
      <w:pPr>
        <w:pStyle w:val="Compact"/>
        <w:numPr>
          <w:ilvl w:val="0"/>
          <w:numId w:val="1061"/>
        </w:numPr>
      </w:pPr>
      <w:r>
        <w:t xml:space="preserve">Bei reinem B2B (§ 14 BGB):</w:t>
      </w:r>
      <w:r>
        <w:t xml:space="preserve"> </w:t>
      </w:r>
      <w:r>
        <w:rPr>
          <w:b/>
          <w:bCs/>
        </w:rPr>
        <w:t xml:space="preserve">NICHT erforderlich</w:t>
      </w:r>
    </w:p>
    <w:p>
      <w:pPr>
        <w:pStyle w:val="Compact"/>
        <w:numPr>
          <w:ilvl w:val="0"/>
          <w:numId w:val="1061"/>
        </w:numPr>
      </w:pPr>
      <w:r>
        <w:t xml:space="preserve">Falls auch Verbraucher (Solo-Selbstständige ohne Gewerbeanmeldung könnten als Verbraucher gelten): Widerrufsbelehrung Pflicht (14 Tage)</w:t>
      </w:r>
    </w:p>
    <w:p>
      <w:pPr>
        <w:pStyle w:val="Compact"/>
        <w:numPr>
          <w:ilvl w:val="0"/>
          <w:numId w:val="1061"/>
        </w:numPr>
      </w:pPr>
      <w:r>
        <w:t xml:space="preserve">→ mit Anwalt klären</w:t>
      </w:r>
    </w:p>
    <w:bookmarkEnd w:id="73"/>
    <w:bookmarkStart w:id="74" w:name="b14-pflicht-bestandteile-checkliste"/>
    <w:p>
      <w:pPr>
        <w:pStyle w:val="Heading3"/>
      </w:pPr>
      <w:r>
        <w:t xml:space="preserve">B14. Pflicht-Bestandteile (Checkliste)</w:t>
      </w:r>
    </w:p>
    <w:p>
      <w:pPr>
        <w:pStyle w:val="Compact"/>
        <w:numPr>
          <w:ilvl w:val="0"/>
          <w:numId w:val="1062"/>
        </w:numPr>
      </w:pPr>
      <w:r>
        <w:t xml:space="preserve">Vertragsgegenstand klar beschrieben (B2)</w:t>
      </w:r>
    </w:p>
    <w:p>
      <w:pPr>
        <w:pStyle w:val="Compact"/>
        <w:numPr>
          <w:ilvl w:val="0"/>
          <w:numId w:val="1063"/>
        </w:numPr>
      </w:pPr>
      <w:r>
        <w:t xml:space="preserve">Vergütung + MwSt-Hinweis (B4)</w:t>
      </w:r>
    </w:p>
    <w:p>
      <w:pPr>
        <w:pStyle w:val="Compact"/>
        <w:numPr>
          <w:ilvl w:val="0"/>
          <w:numId w:val="1064"/>
        </w:numPr>
      </w:pPr>
      <w:r>
        <w:t xml:space="preserve">Vertragsabschluss + ggf. Widerrufsbelehrung (B3, B13)</w:t>
      </w:r>
    </w:p>
    <w:p>
      <w:pPr>
        <w:pStyle w:val="Compact"/>
        <w:numPr>
          <w:ilvl w:val="0"/>
          <w:numId w:val="1065"/>
        </w:numPr>
      </w:pPr>
      <w:r>
        <w:t xml:space="preserve">Laufzeit + Kündigung (B6)</w:t>
      </w:r>
    </w:p>
    <w:p>
      <w:pPr>
        <w:pStyle w:val="Compact"/>
        <w:numPr>
          <w:ilvl w:val="0"/>
          <w:numId w:val="1066"/>
        </w:numPr>
      </w:pPr>
      <w:r>
        <w:t xml:space="preserve">Mitwirkungspflichten Kunde (B5)</w:t>
      </w:r>
    </w:p>
    <w:p>
      <w:pPr>
        <w:pStyle w:val="Compact"/>
        <w:numPr>
          <w:ilvl w:val="0"/>
          <w:numId w:val="1067"/>
        </w:numPr>
      </w:pPr>
      <w:r>
        <w:t xml:space="preserve">Nutzungsrechte (B7)</w:t>
      </w:r>
    </w:p>
    <w:p>
      <w:pPr>
        <w:pStyle w:val="Compact"/>
        <w:numPr>
          <w:ilvl w:val="0"/>
          <w:numId w:val="1068"/>
        </w:numPr>
      </w:pPr>
      <w:r>
        <w:t xml:space="preserve">Haftung + Gewährleistung (B8)</w:t>
      </w:r>
    </w:p>
    <w:p>
      <w:pPr>
        <w:pStyle w:val="Compact"/>
        <w:numPr>
          <w:ilvl w:val="0"/>
          <w:numId w:val="1069"/>
        </w:numPr>
      </w:pPr>
      <w:r>
        <w:t xml:space="preserve">Datenschutz-Verweis + AVV-Hinweis (B10)</w:t>
      </w:r>
    </w:p>
    <w:p>
      <w:pPr>
        <w:pStyle w:val="Compact"/>
        <w:numPr>
          <w:ilvl w:val="0"/>
          <w:numId w:val="1070"/>
        </w:numPr>
      </w:pPr>
      <w:r>
        <w:t xml:space="preserve">Schlussbestimmungen (B12)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Xdbf769756fe7110c090ab34e283904b626d3243"/>
    <w:p>
      <w:pPr>
        <w:pStyle w:val="Heading2"/>
      </w:pPr>
      <w:r>
        <w:t xml:space="preserve">TEIL C — IMPRESSUM (Pflicht nach § 5 TMG / § 18 MStV)</w:t>
      </w:r>
    </w:p>
    <w:p>
      <w:pPr>
        <w:pStyle w:val="SourceCode"/>
      </w:pPr>
      <w:r>
        <w:rPr>
          <w:rStyle w:val="VerbatimChar"/>
        </w:rPr>
        <w:t xml:space="preserve">Anbieter:               [Firmenname]</w:t>
      </w:r>
      <w:r>
        <w:br/>
      </w:r>
      <w:r>
        <w:rPr>
          <w:rStyle w:val="VerbatimChar"/>
        </w:rPr>
        <w:t xml:space="preserve">Anschrift:              [Vollständige Adresse]</w:t>
      </w:r>
      <w:r>
        <w:br/>
      </w:r>
      <w:r>
        <w:rPr>
          <w:rStyle w:val="VerbatimChar"/>
        </w:rPr>
        <w:t xml:space="preserve">Telefon:                [Geschäftstelefon]</w:t>
      </w:r>
      <w:r>
        <w:br/>
      </w:r>
      <w:r>
        <w:rPr>
          <w:rStyle w:val="VerbatimChar"/>
        </w:rPr>
        <w:t xml:space="preserve">E-Mail:                 [Geschäftsmail]</w:t>
      </w:r>
      <w:r>
        <w:br/>
      </w:r>
      <w:r>
        <w:rPr>
          <w:rStyle w:val="VerbatimChar"/>
        </w:rPr>
        <w:t xml:space="preserve">Vertretungsberechtigte: [Geschäftsführer]</w:t>
      </w:r>
      <w:r>
        <w:br/>
      </w:r>
      <w:r>
        <w:rPr>
          <w:rStyle w:val="VerbatimChar"/>
        </w:rPr>
        <w:t xml:space="preserve">Handelsregister:        [Amtsgericht + HRB]</w:t>
      </w:r>
      <w:r>
        <w:br/>
      </w:r>
      <w:r>
        <w:rPr>
          <w:rStyle w:val="VerbatimChar"/>
        </w:rPr>
        <w:t xml:space="preserve">USt-IdNr.:              [DE...]</w:t>
      </w:r>
      <w:r>
        <w:br/>
      </w:r>
      <w:r>
        <w:rPr>
          <w:rStyle w:val="VerbatimChar"/>
        </w:rPr>
        <w:t xml:space="preserve">Wirtschafts-ID-Nr.:     [optional]</w:t>
      </w:r>
      <w:r>
        <w:br/>
      </w:r>
      <w:r>
        <w:rPr>
          <w:rStyle w:val="VerbatimChar"/>
        </w:rPr>
        <w:t xml:space="preserve">Berufshaftpflicht:      [Versicherer + Geltungsbereich, falls beratende Tätigkeit]</w:t>
      </w:r>
      <w:r>
        <w:br/>
      </w:r>
      <w:r>
        <w:rPr>
          <w:rStyle w:val="VerbatimChar"/>
        </w:rPr>
        <w:t xml:space="preserve">Verantwortlich für      [Name + Anschrift, oft Geschäftsführer]</w:t>
      </w:r>
      <w:r>
        <w:br/>
      </w:r>
      <w:r>
        <w:rPr>
          <w:rStyle w:val="VerbatimChar"/>
        </w:rPr>
        <w:t xml:space="preserve">journalistisch-redaktionelle</w:t>
      </w:r>
      <w:r>
        <w:br/>
      </w:r>
      <w:r>
        <w:rPr>
          <w:rStyle w:val="VerbatimChar"/>
        </w:rPr>
        <w:t xml:space="preserve">Inhalte (§ 18 MStV):</w:t>
      </w:r>
      <w:r>
        <w:br/>
      </w:r>
      <w:r>
        <w:rPr>
          <w:rStyle w:val="VerbatimChar"/>
        </w:rPr>
        <w:t xml:space="preserve">EU-Streitschlichtung:   Verweis auf https://ec.europa.eu/consumers/odr/</w:t>
      </w:r>
      <w:r>
        <w:br/>
      </w:r>
      <w:r>
        <w:rPr>
          <w:rStyle w:val="VerbatimChar"/>
        </w:rPr>
        <w:t xml:space="preserve">Verbraucherschlichtung: Hinweis: nicht teilnahmebereit / -pflichtig (üblich für B2B)</w:t>
      </w:r>
    </w:p>
    <w:p>
      <w:r>
        <w:pict>
          <v:rect style="width:0;height:1.5pt" o:hralign="center" o:hrstd="t" o:hr="t"/>
        </w:pict>
      </w:r>
    </w:p>
    <w:bookmarkEnd w:id="76"/>
    <w:bookmarkStart w:id="77" w:name="Xc2dde5f9e1c48fdc78c194abf1bfef19cf8bf78"/>
    <w:p>
      <w:pPr>
        <w:pStyle w:val="Heading2"/>
      </w:pPr>
      <w:r>
        <w:t xml:space="preserve">TEIL D — KONKRETE NÄCHSTE SCHRITTE (priorisiert)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Aktion</w:t>
            </w:r>
          </w:p>
        </w:tc>
        <w:tc>
          <w:tcPr/>
          <w:p>
            <w:pPr>
              <w:pStyle w:val="Compact"/>
            </w:pPr>
            <w:r>
              <w:t xml:space="preserve">Verantwortlich</w:t>
            </w:r>
          </w:p>
        </w:tc>
        <w:tc>
          <w:tcPr/>
          <w:p>
            <w:pPr>
              <w:pStyle w:val="Compact"/>
            </w:pPr>
            <w:r>
              <w:t xml:space="preserve">Aufwand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Google Fonts lokal hosten (DSGVO-Risiko, Abmahnung)</w:t>
            </w:r>
          </w:p>
        </w:tc>
        <w:tc>
          <w:tcPr/>
          <w:p>
            <w:pPr>
              <w:pStyle w:val="Compact"/>
            </w:pPr>
            <w:r>
              <w:t xml:space="preserve">Tech</w:t>
            </w:r>
          </w:p>
        </w:tc>
        <w:tc>
          <w:tcPr/>
          <w:p>
            <w:pPr>
              <w:pStyle w:val="Compact"/>
            </w:pPr>
            <w:r>
              <w:t xml:space="preserve">1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Verantwortliche-Stelle-Daten + Impressum-Felder ausfüllen</w:t>
            </w:r>
          </w:p>
        </w:tc>
        <w:tc>
          <w:tcPr/>
          <w:p>
            <w:pPr>
              <w:pStyle w:val="Compact"/>
            </w:pPr>
            <w:r>
              <w:t xml:space="preserve">Inhaber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AVVs mit allen Subprocessors abschließen (A4)</w:t>
            </w:r>
          </w:p>
        </w:tc>
        <w:tc>
          <w:tcPr/>
          <w:p>
            <w:pPr>
              <w:pStyle w:val="Compact"/>
            </w:pPr>
            <w:r>
              <w:t xml:space="preserve">Inhaber</w:t>
            </w:r>
          </w:p>
        </w:tc>
        <w:tc>
          <w:tcPr/>
          <w:p>
            <w:pPr>
              <w:pStyle w:val="Compact"/>
            </w:pPr>
            <w:r>
              <w:t xml:space="preserve">1 Tag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Datenschutzbeauftragten-Frage klären (A2)</w:t>
            </w:r>
          </w:p>
        </w:tc>
        <w:tc>
          <w:tcPr/>
          <w:p>
            <w:pPr>
              <w:pStyle w:val="Compact"/>
            </w:pPr>
            <w:r>
              <w:t xml:space="preserve">Inhaber + Anwalt</w:t>
            </w:r>
          </w:p>
        </w:tc>
        <w:tc>
          <w:tcPr/>
          <w:p>
            <w:pPr>
              <w:pStyle w:val="Compact"/>
            </w:pPr>
            <w:r>
              <w:t xml:space="preserve">1 Tag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Pre-Sales-Audit-Rechtsgrundlage klären (A6.4)</w:t>
            </w:r>
          </w:p>
        </w:tc>
        <w:tc>
          <w:tcPr/>
          <w:p>
            <w:pPr>
              <w:pStyle w:val="Compact"/>
            </w:pPr>
            <w:r>
              <w:t xml:space="preserve">Anwalt</w:t>
            </w:r>
          </w:p>
        </w:tc>
        <w:tc>
          <w:tcPr/>
          <w:p>
            <w:pPr>
              <w:pStyle w:val="Compact"/>
            </w:pPr>
            <w:r>
              <w:t xml:space="preserve">1–2 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DSGVO-Workflow im KAS implementieren: Daten-Export + Account-Löschung</w:t>
            </w:r>
          </w:p>
        </w:tc>
        <w:tc>
          <w:tcPr/>
          <w:p>
            <w:pPr>
              <w:pStyle w:val="Compact"/>
            </w:pPr>
            <w:r>
              <w:t xml:space="preserve">Tech</w:t>
            </w:r>
          </w:p>
        </w:tc>
        <w:tc>
          <w:tcPr/>
          <w:p>
            <w:pPr>
              <w:pStyle w:val="Compact"/>
            </w:pPr>
            <w:r>
              <w:t xml:space="preserve">1–2 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Automatische Lösch-Routinen für Lead-/Audit-Daten (A7)</w:t>
            </w:r>
          </w:p>
        </w:tc>
        <w:tc>
          <w:tcPr/>
          <w:p>
            <w:pPr>
              <w:pStyle w:val="Compact"/>
            </w:pPr>
            <w:r>
              <w:t xml:space="preserve">Tech</w:t>
            </w:r>
          </w:p>
        </w:tc>
        <w:tc>
          <w:tcPr/>
          <w:p>
            <w:pPr>
              <w:pStyle w:val="Compact"/>
            </w:pPr>
            <w:r>
              <w:t xml:space="preserve">1 Tag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TOM-Dokumentation (Technische + Organisatorische Maßnahmen Art. 32 DSGVO)</w:t>
            </w:r>
          </w:p>
        </w:tc>
        <w:tc>
          <w:tcPr/>
          <w:p>
            <w:pPr>
              <w:pStyle w:val="Compact"/>
            </w:pPr>
            <w:r>
              <w:t xml:space="preserve">Inhaber</w:t>
            </w:r>
          </w:p>
        </w:tc>
        <w:tc>
          <w:tcPr/>
          <w:p>
            <w:pPr>
              <w:pStyle w:val="Compact"/>
            </w:pPr>
            <w:r>
              <w:t xml:space="preserve">1 Tag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DSE + AGB + Impressum von Anwalt prüfen + finalisieren lassen</w:t>
            </w:r>
          </w:p>
        </w:tc>
        <w:tc>
          <w:tcPr/>
          <w:p>
            <w:pPr>
              <w:pStyle w:val="Compact"/>
            </w:pPr>
            <w:r>
              <w:t xml:space="preserve">Anwalt</w:t>
            </w:r>
          </w:p>
        </w:tc>
        <w:tc>
          <w:tcPr/>
          <w:p>
            <w:pPr>
              <w:pStyle w:val="Compact"/>
            </w:pPr>
            <w:r>
              <w:t xml:space="preserve">2 Wochen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Cookie-Banner einbauen — sobald Umami / Marketing-Pixel live</w:t>
            </w:r>
          </w:p>
        </w:tc>
        <w:tc>
          <w:tcPr/>
          <w:p>
            <w:pPr>
              <w:pStyle w:val="Compact"/>
            </w:pPr>
            <w:r>
              <w:t xml:space="preserve">Tech</w:t>
            </w:r>
          </w:p>
        </w:tc>
        <w:tc>
          <w:tcPr/>
          <w:p>
            <w:pPr>
              <w:pStyle w:val="Compact"/>
            </w:pPr>
            <w:r>
              <w:t xml:space="preserve">0,5 Tag</w:t>
            </w:r>
          </w:p>
        </w:tc>
      </w:tr>
    </w:tbl>
    <w:p>
      <w:pPr>
        <w:pStyle w:val="BodyText"/>
      </w:pPr>
      <w:r>
        <w:rPr>
          <w:b/>
          <w:bCs/>
        </w:rPr>
        <w:t xml:space="preserve">Gesamtaufwand bis rechtssicherer Live-Stand:</w:t>
      </w:r>
      <w:r>
        <w:t xml:space="preserve"> </w:t>
      </w:r>
      <w:r>
        <w:t xml:space="preserve">~10–14 Werktage (parallel mit Anwaltsprüfung).</w:t>
      </w:r>
    </w:p>
    <w:p>
      <w:r>
        <w:pict>
          <v:rect style="width:0;height:1.5pt" o:hralign="center" o:hrstd="t" o:hr="t"/>
        </w:pict>
      </w:r>
    </w:p>
    <w:bookmarkEnd w:id="77"/>
    <w:bookmarkStart w:id="78" w:name="teil-e--vorlagen--tools-empfehlungen"/>
    <w:p>
      <w:pPr>
        <w:pStyle w:val="Heading2"/>
      </w:pPr>
      <w:r>
        <w:t xml:space="preserve">TEIL E — VORLAGEN / TOOLS (Empfehlungen)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Generatoren</w:t>
      </w:r>
      <w:r>
        <w:t xml:space="preserve"> </w:t>
      </w:r>
      <w:r>
        <w:t xml:space="preserve">(gut für Erststand, Anwalt-Review nötig):</w:t>
      </w:r>
    </w:p>
    <w:p>
      <w:pPr>
        <w:pStyle w:val="Compact"/>
        <w:numPr>
          <w:ilvl w:val="1"/>
          <w:numId w:val="1072"/>
        </w:numPr>
      </w:pPr>
      <w:r>
        <w:t xml:space="preserve">eRecht24 Premium (~70 €/Jahr) — Standard für DE-KMU</w:t>
      </w:r>
    </w:p>
    <w:p>
      <w:pPr>
        <w:pStyle w:val="Compact"/>
        <w:numPr>
          <w:ilvl w:val="1"/>
          <w:numId w:val="1072"/>
        </w:numPr>
      </w:pPr>
      <w:r>
        <w:t xml:space="preserve">activeMind AG — Enterprise-Generator</w:t>
      </w:r>
    </w:p>
    <w:p>
      <w:pPr>
        <w:pStyle w:val="Compact"/>
        <w:numPr>
          <w:ilvl w:val="1"/>
          <w:numId w:val="1072"/>
        </w:numPr>
      </w:pPr>
      <w:r>
        <w:t xml:space="preserve">datenschutz-generator.de (Dr. Schwenke) — kostenlos, hochwertig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AVV-Vorlagen:</w:t>
      </w:r>
      <w:r>
        <w:t xml:space="preserve"> </w:t>
      </w:r>
      <w:r>
        <w:t xml:space="preserve">GDD, Bitkom, DSK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TOM-Vorlage:</w:t>
      </w:r>
      <w:r>
        <w:t xml:space="preserve"> </w:t>
      </w:r>
      <w:r>
        <w:t xml:space="preserve">Datenschutz-Vorlage Bayerisches LDA</w:t>
      </w:r>
    </w:p>
    <w:p>
      <w:r>
        <w:pict>
          <v:rect style="width:0;height:1.5pt" o:hralign="center" o:hrstd="t" o:hr="t"/>
        </w:pict>
      </w:r>
    </w:p>
    <w:bookmarkEnd w:id="78"/>
    <w:bookmarkStart w:id="79" w:name="anhang--code-pfade-für-anwalt-review"/>
    <w:p>
      <w:pPr>
        <w:pStyle w:val="Heading2"/>
      </w:pPr>
      <w:r>
        <w:t xml:space="preserve">ANHANG — Code-Pfade (für Anwalt-Review)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Datei</w:t>
            </w:r>
          </w:p>
        </w:tc>
        <w:tc>
          <w:tcPr/>
          <w:p>
            <w:pPr>
              <w:pStyle w:val="Compact"/>
            </w:pPr>
            <w:r>
              <w:t xml:space="preserve">Was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kompagnon/backend/database.py</w:t>
            </w:r>
          </w:p>
        </w:tc>
        <w:tc>
          <w:tcPr/>
          <w:p>
            <w:pPr>
              <w:pStyle w:val="Compact"/>
            </w:pPr>
            <w:r>
              <w:t xml:space="preserve">Vollständiges Datenmodell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kompagnon/backend/main.py</w:t>
            </w:r>
          </w:p>
        </w:tc>
        <w:tc>
          <w:tcPr/>
          <w:p>
            <w:pPr>
              <w:pStyle w:val="Compact"/>
            </w:pPr>
            <w:r>
              <w:t xml:space="preserve">Router-Registrierung, CORS, Env-Vars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kompagnon/backend/auth.py</w:t>
            </w:r>
          </w:p>
        </w:tc>
        <w:tc>
          <w:tcPr/>
          <w:p>
            <w:pPr>
              <w:pStyle w:val="Compact"/>
            </w:pPr>
            <w:r>
              <w:t xml:space="preserve">Auth, Passwort-Hash, JWT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kompagnon/backend/agents/*.py</w:t>
            </w:r>
          </w:p>
        </w:tc>
        <w:tc>
          <w:tcPr/>
          <w:p>
            <w:pPr>
              <w:pStyle w:val="Compact"/>
            </w:pPr>
            <w:r>
              <w:t xml:space="preserve">Anthropic-Aufrufe, Daten-Übermittlung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kompagnon/backend/services/brevo_service.py</w:t>
            </w:r>
          </w:p>
        </w:tc>
        <w:tc>
          <w:tcPr/>
          <w:p>
            <w:pPr>
              <w:pStyle w:val="Compact"/>
            </w:pPr>
            <w:r>
              <w:t xml:space="preserve">Brevo-Integration (Newsletter)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kompagnon/backend/routers/geo_payments.py</w:t>
            </w:r>
          </w:p>
        </w:tc>
        <w:tc>
          <w:tcPr/>
          <w:p>
            <w:pPr>
              <w:pStyle w:val="Compact"/>
            </w:pPr>
            <w:r>
              <w:t xml:space="preserve">Stripe-Integration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kompagnon/backend/services/email.py</w:t>
            </w:r>
          </w:p>
        </w:tc>
        <w:tc>
          <w:tcPr/>
          <w:p>
            <w:pPr>
              <w:pStyle w:val="Compact"/>
            </w:pPr>
            <w:r>
              <w:t xml:space="preserve">SMTP-Versand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kompagnon/backend/services/netlify_service.py</w:t>
            </w:r>
          </w:p>
        </w:tc>
        <w:tc>
          <w:tcPr/>
          <w:p>
            <w:pPr>
              <w:pStyle w:val="Compact"/>
            </w:pPr>
            <w:r>
              <w:t xml:space="preserve">Netlify-Deploy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kompagnon/backend/routers/audit.py</w:t>
            </w:r>
          </w:p>
        </w:tc>
        <w:tc>
          <w:tcPr/>
          <w:p>
            <w:pPr>
              <w:pStyle w:val="Compact"/>
            </w:pPr>
            <w:r>
              <w:t xml:space="preserve">Audit fremder Websites + PageSpeed-API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kompagnon/backend/routers/webhooks_trackdesk.py</w:t>
            </w:r>
          </w:p>
        </w:tc>
        <w:tc>
          <w:tcPr/>
          <w:p>
            <w:pPr>
              <w:pStyle w:val="Compact"/>
            </w:pPr>
            <w:r>
              <w:t xml:space="preserve">Affiliate-Tracking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kompagnon/frontend/public/index.html</w:t>
            </w:r>
          </w:p>
        </w:tc>
        <w:tc>
          <w:tcPr/>
          <w:p>
            <w:pPr>
              <w:pStyle w:val="Compact"/>
            </w:pPr>
            <w:r>
              <w:t xml:space="preserve">Google Fonts (DSGVO-relevant)</w:t>
            </w:r>
          </w:p>
        </w:tc>
      </w:tr>
    </w:tbl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1"/>
  </w:num>
  <w:num w:numId="107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render.com/legal/dpa" TargetMode="External" /><Relationship Type="http://schemas.openxmlformats.org/officeDocument/2006/relationships/hyperlink" Id="rId16" Target="https://stripe.com/legal/dpa" TargetMode="External" /><Relationship Type="http://schemas.openxmlformats.org/officeDocument/2006/relationships/hyperlink" Id="rId14" Target="https://www.anthropic.com/legal/dpa" TargetMode="External" /><Relationship Type="http://schemas.openxmlformats.org/officeDocument/2006/relationships/hyperlink" Id="rId18" Target="https://www.brevo.com/de/legal/dpa/" TargetMode="External" /><Relationship Type="http://schemas.openxmlformats.org/officeDocument/2006/relationships/hyperlink" Id="rId12" Target="https://www.netlify.com/gdpr-ccpa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render.com/legal/dpa" TargetMode="External" /><Relationship Type="http://schemas.openxmlformats.org/officeDocument/2006/relationships/hyperlink" Id="rId16" Target="https://stripe.com/legal/dpa" TargetMode="External" /><Relationship Type="http://schemas.openxmlformats.org/officeDocument/2006/relationships/hyperlink" Id="rId14" Target="https://www.anthropic.com/legal/dpa" TargetMode="External" /><Relationship Type="http://schemas.openxmlformats.org/officeDocument/2006/relationships/hyperlink" Id="rId18" Target="https://www.brevo.com/de/legal/dpa/" TargetMode="External" /><Relationship Type="http://schemas.openxmlformats.org/officeDocument/2006/relationships/hyperlink" Id="rId12" Target="https://www.netlify.com/gdpr-ccpa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Bestandsaufnahme — Datenschutzerklärung &amp; AGB für KAS</dc:title>
  <dc:creator>Kompagnon</dc:creator>
  <cp:keywords/>
  <dcterms:created xsi:type="dcterms:W3CDTF">2026-04-30T19:41:11Z</dcterms:created>
  <dcterms:modified xsi:type="dcterms:W3CDTF">2026-04-30T19:41:11Z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2026-04-30</vt:lpwstr>
  </property>
</Properties>
</file>