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Evil Budget Allocation Policy — Version 2.0</w:t>
      </w:r>
    </w:p>
    <w:p>
      <w:pPr>
        <w:pStyle w:val="Heading2"/>
      </w:pPr>
      <w:r>
        <w:t>1. Purpose</w:t>
      </w:r>
    </w:p>
    <w:p>
      <w:r>
        <w:t>Version 2.0 rebalances the budget after Inator R&amp;D spent its entire share by February on a single Make-Everything-Evil-inator that was destroyed by a platypus within the hour.</w:t>
      </w:r>
    </w:p>
    <w:p>
      <w:pPr>
        <w:pStyle w:val="Heading2"/>
      </w:pPr>
      <w:r>
        <w:t>2. Scope</w:t>
      </w:r>
    </w:p>
    <w:p>
      <w:r>
        <w:t>This policy covers every department with a budget line, including the departments the CEO forgot he created.</w:t>
      </w:r>
    </w:p>
    <w:p>
      <w:pPr>
        <w:pStyle w:val="Heading2"/>
      </w:pPr>
      <w:r>
        <w:t>3. Budget Split</w:t>
      </w:r>
    </w:p>
    <w:p>
      <w:r>
        <w:t>The annual evil budget is now split as follows.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Share of Budget</w:t>
            </w:r>
          </w:p>
        </w:tc>
      </w:tr>
      <w:tr>
        <w:tc>
          <w:tcPr>
            <w:tcW w:type="dxa" w:w="4320"/>
          </w:tcPr>
          <w:p>
            <w:r>
              <w:t>Inator R&amp;D</w:t>
            </w:r>
          </w:p>
        </w:tc>
        <w:tc>
          <w:tcPr>
            <w:tcW w:type="dxa" w:w="4320"/>
          </w:tcPr>
          <w:p>
            <w:r>
              <w:t>35 percent</w:t>
            </w:r>
          </w:p>
        </w:tc>
      </w:tr>
      <w:tr>
        <w:tc>
          <w:tcPr>
            <w:tcW w:type="dxa" w:w="4320"/>
          </w:tcPr>
          <w:p>
            <w:r>
              <w:t>Minion Operations</w:t>
            </w:r>
          </w:p>
        </w:tc>
        <w:tc>
          <w:tcPr>
            <w:tcW w:type="dxa" w:w="4320"/>
          </w:tcPr>
          <w:p>
            <w:r>
              <w:t>20 percent</w:t>
            </w:r>
          </w:p>
        </w:tc>
      </w:tr>
      <w:tr>
        <w:tc>
          <w:tcPr>
            <w:tcW w:type="dxa" w:w="4320"/>
          </w:tcPr>
          <w:p>
            <w:r>
              <w:t>Facilities and Lair Upkeep</w:t>
            </w:r>
          </w:p>
        </w:tc>
        <w:tc>
          <w:tcPr>
            <w:tcW w:type="dxa" w:w="4320"/>
          </w:tcPr>
          <w:p>
            <w:r>
              <w:t>15 percent</w:t>
            </w:r>
          </w:p>
        </w:tc>
      </w:tr>
      <w:tr>
        <w:tc>
          <w:tcPr>
            <w:tcW w:type="dxa" w:w="4320"/>
          </w:tcPr>
          <w:p>
            <w:r>
              <w:t>Evil PR</w:t>
            </w:r>
          </w:p>
        </w:tc>
        <w:tc>
          <w:tcPr>
            <w:tcW w:type="dxa" w:w="4320"/>
          </w:tcPr>
          <w:p>
            <w:r>
              <w:t>10 percent</w:t>
            </w:r>
          </w:p>
        </w:tc>
      </w:tr>
      <w:tr>
        <w:tc>
          <w:tcPr>
            <w:tcW w:type="dxa" w:w="4320"/>
          </w:tcPr>
          <w:p>
            <w:r>
              <w:t>Platypus Countermeasures</w:t>
            </w:r>
          </w:p>
        </w:tc>
        <w:tc>
          <w:tcPr>
            <w:tcW w:type="dxa" w:w="4320"/>
          </w:tcPr>
          <w:p>
            <w:r>
              <w:t>10 percent</w:t>
            </w:r>
          </w:p>
        </w:tc>
      </w:tr>
      <w:tr>
        <w:tc>
          <w:tcPr>
            <w:tcW w:type="dxa" w:w="4320"/>
          </w:tcPr>
          <w:p>
            <w:r>
              <w:t>Everything Else</w:t>
            </w:r>
          </w:p>
        </w:tc>
        <w:tc>
          <w:tcPr>
            <w:tcW w:type="dxa" w:w="4320"/>
          </w:tcPr>
          <w:p>
            <w:r>
              <w:t>10 percent</w:t>
            </w:r>
          </w:p>
        </w:tc>
      </w:tr>
    </w:tbl>
    <w:p>
      <w:r>
        <w:t>Inator R&amp;D funding is released quarterly instead of all at once.</w:t>
      </w:r>
    </w:p>
    <w:p>
      <w:pPr>
        <w:pStyle w:val="Heading2"/>
      </w:pPr>
      <w:r>
        <w:t>4. Mid-Year Requests</w:t>
      </w:r>
    </w:p>
    <w:p>
      <w:r>
        <w:t>4.1 Request Window. Departments may request a mid-year budget increase once, in June, by submitting a form and a convincing villain backstory.</w:t>
      </w:r>
    </w:p>
    <w:p>
      <w:r>
        <w:t>4.2 Backstory Review. Backstories are scored by the CFO for emotional impact. Backstories involving a childhood in Gimmelshtump score automatically high, which Finance acknowledges is unfair.</w:t>
      </w:r>
    </w:p>
    <w:p>
      <w:pPr>
        <w:pStyle w:val="Heading2"/>
      </w:pPr>
      <w:r>
        <w:t>5. Overspend Consequences</w:t>
      </w:r>
    </w:p>
    <w:p>
      <w:r>
        <w:t>A department that overspends loses its snack budget for two quarters and must present a lessons-learned slideshow with no evil laughing.</w:t>
      </w:r>
    </w:p>
    <w:p>
      <w:pPr>
        <w:pStyle w:val="Heading2"/>
      </w:pPr>
      <w:r>
        <w:t>6. Acknowledgment</w:t>
      </w:r>
    </w:p>
    <w:p>
      <w:r>
        <w:t>Department heads acknowledge this policy by spending responsibly, or at least creatively.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Evil Budget Allocation Policy — Version 2.0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