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Expense Reimbursement Policy — Version 2.0</w:t>
      </w:r>
    </w:p>
    <w:p>
      <w:pPr>
        <w:pStyle w:val="Heading2"/>
      </w:pPr>
      <w:r>
        <w:t>1. Purpose</w:t>
      </w:r>
    </w:p>
    <w:p>
      <w:r>
        <w:t>Version 2.0 shortens the receipt deadline and adds per-diem rules after an audit found a single business trip to Gimmelshtump that somehow included forty-one goat-cheese tastings.</w:t>
      </w:r>
    </w:p>
    <w:p>
      <w:pPr>
        <w:pStyle w:val="Heading2"/>
      </w:pPr>
      <w:r>
        <w:t>2. Scope</w:t>
      </w:r>
    </w:p>
    <w:p>
      <w:r>
        <w:t>This policy applies to all employees who spend their own money on behalf of Doofenshmirtz Evil Incorporated, anywhere in the Tri-State Area or beyond.</w:t>
      </w:r>
    </w:p>
    <w:p>
      <w:pPr>
        <w:pStyle w:val="Heading2"/>
      </w:pPr>
      <w:r>
        <w:t>3. Eligible Expenses</w:t>
      </w:r>
    </w:p>
    <w:p>
      <w:r>
        <w:t>3.1 Covered Items. Reimbursable expenses include inator parts, travel, client lunches, and replacement lab coats damaged by an inator that worked a little too well.</w:t>
      </w:r>
    </w:p>
    <w:p>
      <w:r>
        <w:t>3.2 Excluded Items. Expenses that are not reimbursable include fedoras, platypus food, personal revenge projects, and anything purchased primarily to impress an ex-wife.</w:t>
      </w:r>
    </w:p>
    <w:p>
      <w:pPr>
        <w:pStyle w:val="Heading2"/>
      </w:pPr>
      <w:r>
        <w:t>4. Receipts and Deadlines</w:t>
      </w:r>
    </w:p>
    <w:p>
      <w:r>
        <w:t>4.1 Submission Deadline. Expense claims must now be submitted within 14 days of purchase, down from 30 days, with an itemized receipt.</w:t>
      </w:r>
    </w:p>
    <w:p>
      <w:r>
        <w:t>4.2 Missing Receipts. The interpretive dance option is retired. A missing receipt now requires a sworn statement countersigned by a manager.</w:t>
      </w:r>
    </w:p>
    <w:p>
      <w:pPr>
        <w:pStyle w:val="Heading2"/>
      </w:pPr>
      <w:r>
        <w:t>5. Approval Limits</w:t>
      </w:r>
    </w:p>
    <w:p>
      <w:r>
        <w:t>5.1 Manager Approval. Managers may approve claims up to 500 dollars. Claims above that limit go to the CFO, who reviews them on Thursdays between naps.</w:t>
      </w:r>
    </w:p>
    <w:p>
      <w:r>
        <w:t>5.2 Inator Purchases. Any single purchase for an inator above 2,000 dollars requires a written description of what the inator does, in one sentence, with no backstory.</w:t>
      </w:r>
    </w:p>
    <w:p>
      <w:pPr>
        <w:pStyle w:val="Heading2"/>
      </w:pPr>
      <w:r>
        <w:t>6. Reimbursement Timing</w:t>
      </w:r>
    </w:p>
    <w:p>
      <w:r>
        <w:t>Approved claims are paid with the next payroll cycle. Claims paid in doubloons, gold bars or experimental currency must be converted first.</w:t>
      </w:r>
    </w:p>
    <w:p>
      <w:pPr>
        <w:pStyle w:val="Heading2"/>
      </w:pPr>
      <w:r>
        <w:t>7. Per Diem</w:t>
      </w:r>
    </w:p>
    <w:p>
      <w:r>
        <w:t>7.1 Daily Meal Allowance. Employees traveling on company business receive a meal per diem of 75 dollars per day, regardless of how many goat-cheese tastings are available locally.</w:t>
      </w:r>
    </w:p>
    <w:p>
      <w:r>
        <w:t>7.2 Gimmelshtump Exception. Trips to Gimmelshtump receive an additional 10 dollars per day for emotional support pastries.</w:t>
      </w:r>
    </w:p>
    <w:p>
      <w:pPr>
        <w:pStyle w:val="Heading2"/>
      </w:pPr>
      <w:r>
        <w:t>8. Acknowledgment</w:t>
      </w:r>
    </w:p>
    <w:p>
      <w:r>
        <w:t>Submitting an expense claim constitutes acknowledgment of this policy and a solemn promise that the volcano was a one-time 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Reimbursement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