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Remote Work and Tri-State Commute Policy — Version 1.0</w:t>
      </w:r>
    </w:p>
    <w:p>
      <w:pPr>
        <w:pStyle w:val="Heading2"/>
      </w:pPr>
      <w:r>
        <w:t>1. Purpose</w:t>
      </w:r>
    </w:p>
    <w:p>
      <w:r>
        <w:t>This policy explains when employees may work remotely and how the company supports commuting across the Tri-State Area, where traffic is often caused by giant robots.</w:t>
      </w:r>
    </w:p>
    <w:p>
      <w:pPr>
        <w:pStyle w:val="Heading2"/>
      </w:pPr>
      <w:r>
        <w:t>2. Scope</w:t>
      </w:r>
    </w:p>
    <w:p>
      <w:r>
        <w:t>This policy applies to all employees whose job does not require physically guarding an inator.</w:t>
      </w:r>
    </w:p>
    <w:p>
      <w:pPr>
        <w:pStyle w:val="Heading2"/>
      </w:pPr>
      <w:r>
        <w:t>3. Remote Work</w:t>
      </w:r>
    </w:p>
    <w:p>
      <w:r>
        <w:t>3.1 Remote Days. Eligible employees may work remotely up to 2 days per week, agreed with their manager.</w:t>
      </w:r>
    </w:p>
    <w:p>
      <w:r>
        <w:t>3.2 Home Lairs. Employees working from home may not build inators larger than a microwave in their kitchen.</w:t>
      </w:r>
    </w:p>
    <w:p>
      <w:pPr>
        <w:pStyle w:val="Heading2"/>
      </w:pPr>
      <w:r>
        <w:t>4. Commuting</w:t>
      </w:r>
    </w:p>
    <w:p>
      <w:r>
        <w:t>4.1 Commute Stipend. Employees receive a commute stipend of 100 dollars per month for transit, bikes or blimp fuel.</w:t>
      </w:r>
    </w:p>
    <w:p>
      <w:r>
        <w:t>4.2 Robot Traffic. Employees delayed by a giant robot, rampaging monster or rival villain's scheme are not marked late.</w:t>
      </w:r>
    </w:p>
    <w:p>
      <w:pPr>
        <w:pStyle w:val="Heading2"/>
      </w:pPr>
      <w:r>
        <w:t>5. Equipment</w:t>
      </w:r>
    </w:p>
    <w:p>
      <w:r>
        <w:t>Remote employees receive a laptop and one evil-looking desk lamp.</w:t>
      </w:r>
    </w:p>
    <w:p>
      <w:pPr>
        <w:pStyle w:val="Heading2"/>
      </w:pPr>
      <w:r>
        <w:t>6. Acknowledgment</w:t>
      </w:r>
    </w:p>
    <w:p>
      <w:r>
        <w:t>Working from anywhere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and Tri-State Commute Policy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