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Building and Lair Maintenance Policy — Version 1.0</w:t>
      </w:r>
    </w:p>
    <w:p>
      <w:pPr>
        <w:pStyle w:val="Heading2"/>
      </w:pPr>
      <w:r>
        <w:t>1. Purpose</w:t>
      </w:r>
    </w:p>
    <w:p>
      <w:r>
        <w:t>This policy keeps the headquarters building, the volcano lair and the backup lair in working order, despite the company's habit of exploding things.</w:t>
      </w:r>
    </w:p>
    <w:p>
      <w:pPr>
        <w:pStyle w:val="Heading2"/>
      </w:pPr>
      <w:r>
        <w:t>2. Scope</w:t>
      </w:r>
    </w:p>
    <w:p>
      <w:r>
        <w:t>This policy covers all company buildings, lairs, secret passages and trap doors.</w:t>
      </w:r>
    </w:p>
    <w:p>
      <w:pPr>
        <w:pStyle w:val="Heading2"/>
      </w:pPr>
      <w:r>
        <w:t>3. Maintenance Requests</w:t>
      </w:r>
    </w:p>
    <w:p>
      <w:r>
        <w:t>3.1 Request Process. Maintenance requests are submitted through the Facilities portal. Requests shouted from a trap door are not logged.</w:t>
      </w:r>
    </w:p>
    <w:p>
      <w:r>
        <w:t>3.2 Response Times. Facilities responds to urgent requests within 4 hours and to routine requests within 5 business days.</w:t>
      </w:r>
    </w:p>
    <w:p>
      <w:pPr>
        <w:pStyle w:val="Heading2"/>
      </w:pPr>
      <w:r>
        <w:t>4. Trap Doors</w:t>
      </w:r>
    </w:p>
    <w:p>
      <w:r>
        <w:t>4.1 Inspection. Every trap door is inspected monthly. A trap door that opens on its own is classified as urgent.</w:t>
      </w:r>
    </w:p>
    <w:p>
      <w:r>
        <w:t>4.2 Signage. Trap doors in public hallways must not be marked, which Facilities admits is a safety concern.</w:t>
      </w:r>
    </w:p>
    <w:p>
      <w:pPr>
        <w:pStyle w:val="Heading2"/>
      </w:pPr>
      <w:r>
        <w:t>5. Lair Cleaning</w:t>
      </w:r>
    </w:p>
    <w:p>
      <w:r>
        <w:t>The volcano lair is cleaned weekly. Lava is not considered a cleaning product.</w:t>
      </w:r>
    </w:p>
    <w:p>
      <w:pPr>
        <w:pStyle w:val="Heading2"/>
      </w:pPr>
      <w:r>
        <w:t>6. Acknowledgment</w:t>
      </w:r>
    </w:p>
    <w:p>
      <w:r>
        <w:t>Occupying any company building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and Lair Maintenance Policy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