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Nemesis Engagement Policy — Version 1.0</w:t>
      </w:r>
    </w:p>
    <w:p>
      <w:pPr>
        <w:pStyle w:val="Heading2"/>
      </w:pPr>
      <w:r>
        <w:t>1. Purpose</w:t>
      </w:r>
    </w:p>
    <w:p>
      <w:r>
        <w:t>Every respectable evil company has a nemesis. This policy sets the general etiquette for engaging with ours, a certain semi-aquatic secret agent in a fedora, without revealing anything classified.</w:t>
      </w:r>
    </w:p>
    <w:p>
      <w:pPr>
        <w:pStyle w:val="Heading2"/>
      </w:pPr>
      <w:r>
        <w:t>2. Scope</w:t>
      </w:r>
    </w:p>
    <w:p>
      <w:r>
        <w:t>This policy applies to every employee who may encounter the nemesis, which is all of them, usually on Tuesdays.</w:t>
      </w:r>
    </w:p>
    <w:p>
      <w:pPr>
        <w:pStyle w:val="Heading2"/>
      </w:pPr>
      <w:r>
        <w:t>3. Etiquette</w:t>
      </w:r>
    </w:p>
    <w:p>
      <w:r>
        <w:t>3.1 Greeting. When the nemesis arrives, the CEO greets it by full name and title. Employees may wave but should not offer a handshake, flipper-shake or snack.</w:t>
      </w:r>
    </w:p>
    <w:p>
      <w:r>
        <w:t>3.2 Trapping. Only the CEO may trap the nemesis, usually right before a monologue. Employees who trap the nemesis by accident must release it and apologize.</w:t>
      </w:r>
    </w:p>
    <w:p>
      <w:pPr>
        <w:pStyle w:val="Heading2"/>
      </w:pPr>
      <w:r>
        <w:t>4. Fighting</w:t>
      </w:r>
    </w:p>
    <w:p>
      <w:r>
        <w:t>Fights with the nemesis must avoid the server room and the break room fridge. Furniture broken during a fight is replaced by Facilities within one week.</w:t>
      </w:r>
    </w:p>
    <w:p>
      <w:pPr>
        <w:pStyle w:val="Heading2"/>
      </w:pPr>
      <w:r>
        <w:t>5. Aftermath</w:t>
      </w:r>
    </w:p>
    <w:p>
      <w:r>
        <w:t>After the nemesis escapes, employees should shout a company-approved phrase of frustration, then return to work.</w:t>
      </w:r>
    </w:p>
    <w:p>
      <w:pPr>
        <w:pStyle w:val="Heading2"/>
      </w:pPr>
      <w:r>
        <w:t>6. Acknowledgment</w:t>
      </w:r>
    </w:p>
    <w:p>
      <w:r>
        <w:t>Being in the building on a Tuesday constitutes acknowledgment of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Nemesis Engagement Policy — Version 1.0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