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rPr>
          <w:rFonts w:ascii="Tenorite" w:hAnsi="Tenorite" w:eastAsia="Tenorite"/>
        </w:rPr>
        <w:t xml:space="preserve">QA Estimation Tool — Org2 User Guide</w:t>
      </w:r>
    </w:p>
    <w:p>
      <w:pPr>
        <w:spacing w:after="320"/>
      </w:pPr>
      <w:r>
        <w:rPr>
          <w:rFonts w:ascii="Tenorite" w:hAnsi="Tenorite" w:eastAsia="Tenorite"/>
          <w:color w:val="475569"/>
          <w:sz w:val="18"/>
        </w:rPr>
        <w:t xml:space="preserve">Oct 6, 2026</w:t>
      </w:r>
      <w:r>
        <w:rPr>
          <w:rFonts w:ascii="Tenorite" w:hAnsi="Tenorite" w:eastAsia="Tenorite"/>
          <w:color w:val="475569"/>
          <w:sz w:val="18"/>
        </w:rPr>
        <w:t xml:space="preserve"> · </w:t>
      </w:r>
      <w:r>
        <w:rPr>
          <w:rFonts w:ascii="Tenorite" w:hAnsi="Tenorite" w:eastAsia="Tenorite"/>
          <w:color w:val="475569"/>
          <w:sz w:val="18"/>
        </w:rPr>
        <w:t xml:space="preserve">@Nachiket Shembekar</w:t>
      </w:r>
    </w:p>
    <w:p>
      <w:pPr>
        <w:pStyle w:val="Heading2"/>
        <w:keepNext/>
        <w:spacing w:before="200" w:after="100"/>
        <w:shd w:fill="EEF5FF"/>
        <w:ind w:left="115"/>
      </w:pPr>
      <w:r>
        <w:rPr>
          <w:rFonts w:ascii="Tenorite" w:hAnsi="Tenorite" w:eastAsia="Tenorite"/>
          <w:b/>
          <w:color w:val="000000"/>
          <w:sz w:val="26"/>
        </w:rPr>
        <w:t xml:space="preserve">Before you start</w:t>
      </w:r>
    </w:p>
    <w:p>
      <w:pPr>
        <w:spacing w:after="100"/>
      </w:pPr>
      <w:r>
        <w:rPr>
          <w:rFonts w:ascii="Tenorite" w:hAnsi="Tenorite" w:eastAsia="Tenorite"/>
          <w:color w:val="111827"/>
        </w:rPr>
        <w:t xml:space="preserve">The QA Estimation Tool turns your project scope into an estimate of testing hours, in four short pages. All of its numbers (application lists, rates and test volumes) come from one Excel file, called the </w:t>
      </w:r>
      <w:r>
        <w:rPr>
          <w:rFonts w:ascii="Tenorite" w:hAnsi="Tenorite" w:eastAsia="Tenorite"/>
          <w:b/>
        </w:rPr>
        <w:t xml:space="preserve">config file</w:t>
      </w:r>
      <w:r>
        <w:rPr>
          <w:rFonts w:ascii="Tenorite" w:hAnsi="Tenorite" w:eastAsia="Tenorite"/>
        </w:rPr>
        <w:t xml:space="preserve">.</w:t>
      </w:r>
    </w:p>
    <w:tbl>
      <w:tblPr>
        <w:tblStyle w:val="TableGrid"/>
        <w:tblW w:w="0" w:type="auto"/>
        <w:jc w:val="center"/>
        <w:tblLayout w:type="fixed"/>
        <w:tblLook w:val="04A0" w:firstRow="1" w:lastRow="0" w:firstColumn="0" w:lastColumn="0" w:noHBand="0" w:noVBand="1"/>
        <w:tblBorders>
          <w:top w:val="single" w:sz="6" w:color="D9E2EE"/>
          <w:left w:val="single" w:sz="6" w:color="D9E2EE"/>
          <w:bottom w:val="single" w:sz="6" w:color="D9E2EE"/>
          <w:right w:val="single" w:sz="6" w:color="D9E2EE"/>
          <w:insideH w:val="single" w:sz="6" w:color="D9E2EE"/>
          <w:insideV w:val="single" w:sz="6" w:color="D9E2EE"/>
        </w:tblBorders>
      </w:tblPr>
      <w:tblGrid>
        <w:gridCol w:w="4680"/>
        <w:gridCol w:w="4680"/>
      </w:tblGrid>
      <w:tr>
        <w:trPr>
          <w:tblHeader/>
          <w:tblHeader w:val="true"/>
        </w:trPr>
        <w:tc>
          <w:tcPr>
            <w:tcW w:w="2880"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You need</w:t>
            </w:r>
          </w:p>
        </w:tc>
        <w:tc>
          <w:tcPr>
            <w:tcW w:w="7272"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Where it is</w:t>
            </w:r>
          </w:p>
        </w:tc>
      </w:tr>
      <w:tr>
        <w:trPr/>
        <w:tc>
          <w:tcPr>
            <w:tcW w:w="288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The app</w:t>
            </w:r>
          </w:p>
        </w:tc>
        <w:tc>
          <w:tcPr>
            <w:tcW w:w="7272"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Published Power Apps link shared by the tool owner</w:t>
            </w:r>
          </w:p>
        </w:tc>
      </w:tr>
      <w:tr>
        <w:trPr/>
        <w:tc>
          <w:tcPr>
            <w:tcW w:w="288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The config file</w:t>
            </w:r>
          </w:p>
        </w:tc>
        <w:tc>
          <w:tcPr>
            <w:tcW w:w="7272" w:type="dxa"/>
            <w:vAlign w:val="center"/>
            <w:tcMar>
              <w:top w:w="70" w:type="dxa"/>
              <w:start w:w="110" w:type="dxa"/>
              <w:bottom w:w="70" w:type="dxa"/>
              <w:end w:w="110" w:type="dxa"/>
            </w:tcMar>
            <w:shd w:fill="EEF5FF"/>
          </w:tcPr>
          <w:p>
            <w:pPr>
              <w:spacing w:after="0" w:line="252" w:lineRule="auto"/>
            </w:pPr>
            <w:r>
              <w:rPr>
                <w:rStyle w:val="CodeChar"/>
                <w:rFonts w:ascii="Tenorite" w:hAnsi="Tenorite" w:eastAsia="Tenorite"/>
                <w:b w:val="0"/>
                <w:color w:val="111827"/>
                <w:sz w:val="15"/>
              </w:rPr>
              <w:t xml:space="preserve">QAE_Estimation_Config_v167_Org2.xlsx</w:t>
            </w:r>
            <w:r>
              <w:rPr>
                <w:rFonts w:ascii="Tenorite" w:hAnsi="Tenorite" w:eastAsia="Tenorite"/>
                <w:b w:val="0"/>
                <w:color w:val="111827"/>
                <w:sz w:val="15"/>
              </w:rPr>
              <w:t xml:space="preserve"> in the shared OneDrive / SharePoint folder</w:t>
            </w:r>
          </w:p>
        </w:tc>
      </w:tr>
      <w:tr>
        <w:trPr/>
        <w:tc>
          <w:tcPr>
            <w:tcW w:w="288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Edit access to the config file</w:t>
            </w:r>
          </w:p>
        </w:tc>
        <w:tc>
          <w:tcPr>
            <w:tcW w:w="7272"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Only needed if you will change applications or rates</w:t>
            </w:r>
          </w:p>
        </w:tc>
      </w:tr>
    </w:tbl>
    <w:p>
      <w:pPr/>
      <w:r>
        <w:rPr>
          <w:rFonts w:ascii="Tenorite" w:hAnsi="Tenorite" w:eastAsia="Tenorite"/>
        </w:rPr>
        <w:t xml:space="preserve">If you only make estimates, you never need to open the config file. Everything from "The config file" onward is for the people who maintain it.</w:t>
      </w:r>
    </w:p>
    <w:p>
      <w:pPr>
        <w:pStyle w:val="Heading2"/>
        <w:keepNext/>
        <w:spacing w:before="200" w:after="100"/>
        <w:shd w:fill="EEF5FF"/>
        <w:ind w:left="115"/>
      </w:pPr>
      <w:r>
        <w:rPr>
          <w:rFonts w:ascii="Tenorite" w:hAnsi="Tenorite" w:eastAsia="Tenorite"/>
          <w:b/>
          <w:color w:val="000000"/>
          <w:sz w:val="26"/>
        </w:rPr>
        <w:t xml:space="preserve">Using the app</w:t>
      </w:r>
    </w:p>
    <w:p>
      <w:pPr>
        <w:spacing w:after="100"/>
      </w:pPr>
      <w:r>
        <w:rPr>
          <w:rFonts w:ascii="Tenorite" w:hAnsi="Tenorite" w:eastAsia="Tenorite"/>
          <w:color w:val="111827"/>
        </w:rPr>
        <w:t xml:space="preserve">Work left to right through the four pages. Press </w:t>
      </w:r>
      <w:r>
        <w:rPr>
          <w:rFonts w:ascii="Tenorite" w:hAnsi="Tenorite" w:eastAsia="Tenorite"/>
          <w:b/>
        </w:rPr>
        <w:t xml:space="preserve">Help</w:t>
      </w:r>
      <w:r>
        <w:rPr>
          <w:rFonts w:ascii="Tenorite" w:hAnsi="Tenorite" w:eastAsia="Tenorite"/>
        </w:rPr>
        <w:t xml:space="preserve"> in the top bar on any page for a picture that explains that page.</w:t>
      </w:r>
    </w:p>
    <w:p>
      <w:pPr>
        <w:pStyle w:val="ListParagraph"/>
        <w:keepLines/>
        <w:numPr>
          <w:ilvl w:val="0"/>
          <w:numId w:val="2"/>
        </w:numPr>
      </w:pPr>
      <w:r>
        <w:rPr>
          <w:rFonts w:ascii="Tenorite" w:hAnsi="Tenorite" w:eastAsia="Tenorite"/>
          <w:b/>
          <w:color w:val="111827"/>
          <w:sz w:val="17"/>
        </w:rPr>
        <w:t xml:space="preserve">Project Setup:</w:t>
      </w:r>
      <w:r>
        <w:rPr>
          <w:rFonts w:ascii="Tenorite" w:hAnsi="Tenorite" w:eastAsia="Tenorite"/>
          <w:color w:val="111827"/>
          <w:sz w:val="17"/>
        </w:rPr>
        <w:t xml:space="preserve"> press </w:t>
      </w:r>
      <w:r>
        <w:rPr>
          <w:rFonts w:ascii="Tenorite" w:hAnsi="Tenorite" w:eastAsia="Tenorite"/>
          <w:b/>
          <w:color w:val="111827"/>
          <w:sz w:val="17"/>
        </w:rPr>
        <w:t xml:space="preserve">Load / Refresh Config</w:t>
      </w:r>
      <w:r>
        <w:rPr>
          <w:rFonts w:ascii="Tenorite" w:hAnsi="Tenorite" w:eastAsia="Tenorite"/>
          <w:color w:val="111827"/>
          <w:sz w:val="17"/>
        </w:rPr>
        <w:t xml:space="preserve"> first. Then pick the Application Type, Application Name and methodology, and tick what is in scope (Manual, Automation, Performance).</w:t>
      </w:r>
    </w:p>
    <w:p>
      <w:pPr>
        <w:pStyle w:val="ListParagraph"/>
        <w:keepLines/>
        <w:numPr>
          <w:ilvl w:val="0"/>
          <w:numId w:val="2"/>
        </w:numPr>
      </w:pPr>
      <w:r>
        <w:rPr>
          <w:rFonts w:ascii="Tenorite" w:hAnsi="Tenorite" w:eastAsia="Tenorite"/>
          <w:b/>
          <w:color w:val="111827"/>
          <w:sz w:val="17"/>
        </w:rPr>
        <w:t xml:space="preserve">Define Scope:</w:t>
      </w:r>
      <w:r>
        <w:rPr>
          <w:rFonts w:ascii="Tenorite" w:hAnsi="Tenorite" w:eastAsia="Tenorite"/>
          <w:color w:val="111827"/>
          <w:sz w:val="17"/>
        </w:rPr>
        <w:t xml:space="preserve"> enter how much work there is: story counts for Agile, or requirement counts for Waterfall. Check the complexity split adds up to 100%.</w:t>
      </w:r>
    </w:p>
    <w:p>
      <w:pPr>
        <w:pStyle w:val="ListParagraph"/>
        <w:keepLines/>
        <w:numPr>
          <w:ilvl w:val="0"/>
          <w:numId w:val="2"/>
        </w:numPr>
      </w:pPr>
      <w:r>
        <w:rPr>
          <w:rFonts w:ascii="Tenorite" w:hAnsi="Tenorite" w:eastAsia="Tenorite"/>
          <w:b/>
          <w:color w:val="111827"/>
          <w:sz w:val="17"/>
        </w:rPr>
        <w:t xml:space="preserve">Estimation Review:</w:t>
      </w:r>
      <w:r>
        <w:rPr>
          <w:rFonts w:ascii="Tenorite" w:hAnsi="Tenorite" w:eastAsia="Tenorite"/>
          <w:color w:val="111827"/>
          <w:sz w:val="17"/>
        </w:rPr>
        <w:t xml:space="preserve"> see the hours for each testing type. Adjust reuse %, AI efficiency %, cycles and automation coverage if needed. Press the small (i) icon on any row to see how its number was worked out.</w:t>
      </w:r>
    </w:p>
    <w:p>
      <w:pPr>
        <w:pStyle w:val="ListParagraph"/>
        <w:keepLines/>
        <w:numPr>
          <w:ilvl w:val="0"/>
          <w:numId w:val="2"/>
        </w:numPr>
      </w:pPr>
      <w:r>
        <w:rPr>
          <w:rFonts w:ascii="Tenorite" w:hAnsi="Tenorite" w:eastAsia="Tenorite"/>
          <w:b/>
          <w:color w:val="111827"/>
          <w:sz w:val="17"/>
        </w:rPr>
        <w:t xml:space="preserve">Report Export:</w:t>
      </w:r>
      <w:r>
        <w:rPr>
          <w:rFonts w:ascii="Tenorite" w:hAnsi="Tenorite" w:eastAsia="Tenorite"/>
          <w:color w:val="111827"/>
          <w:sz w:val="17"/>
        </w:rPr>
        <w:t xml:space="preserve"> check the summary and save it as a PDF.</w:t>
      </w:r>
    </w:p>
    <w:p>
      <w:pPr/>
      <w:r>
        <w:rPr>
          <w:rFonts w:ascii="Tenorite" w:hAnsi="Tenorite" w:eastAsia="Tenorite"/>
          <w:b/>
        </w:rPr>
        <w:t xml:space="preserve">Reset</w:t>
      </w:r>
      <w:r>
        <w:rPr>
          <w:rFonts w:ascii="Tenorite" w:hAnsi="Tenorite" w:eastAsia="Tenorite"/>
        </w:rPr>
        <w:t xml:space="preserve"> clears the current page back to its starting values. </w:t>
      </w:r>
      <w:r>
        <w:rPr>
          <w:rFonts w:ascii="Tenorite" w:hAnsi="Tenorite" w:eastAsia="Tenorite"/>
          <w:b/>
        </w:rPr>
        <w:t xml:space="preserve">Home</w:t>
      </w:r>
      <w:r>
        <w:rPr>
          <w:rFonts w:ascii="Tenorite" w:hAnsi="Tenorite" w:eastAsia="Tenorite"/>
        </w:rPr>
        <w:t xml:space="preserve"> goes back to Project Setup.</w:t>
      </w:r>
    </w:p>
    <w:p>
      <w:pPr/>
      <w:r>
        <w:rPr>
          <w:rFonts w:ascii="Tenorite" w:hAnsi="Tenorite" w:eastAsia="Tenorite"/>
        </w:rPr>
        <w:t xml:space="preserve">For SAP, Org2 offers only </w:t>
      </w:r>
      <w:r>
        <w:rPr>
          <w:rFonts w:ascii="Tenorite" w:hAnsi="Tenorite" w:eastAsia="Tenorite"/>
          <w:b/>
        </w:rPr>
        <w:t xml:space="preserve">Default</w:t>
      </w:r>
      <w:r>
        <w:rPr>
          <w:rFonts w:ascii="Tenorite" w:hAnsi="Tenorite" w:eastAsia="Tenorite"/>
        </w:rPr>
        <w:t xml:space="preserve"> as the Application Name.</w:t>
      </w:r>
    </w:p>
    <w:p>
      <w:pPr>
        <w:pStyle w:val="Heading2"/>
        <w:keepNext/>
        <w:spacing w:before="200" w:after="100"/>
        <w:shd w:fill="EEF5FF"/>
        <w:ind w:left="115"/>
      </w:pPr>
      <w:r>
        <w:rPr>
          <w:rFonts w:ascii="Tenorite" w:hAnsi="Tenorite" w:eastAsia="Tenorite"/>
          <w:b/>
          <w:color w:val="000000"/>
          <w:sz w:val="26"/>
        </w:rPr>
        <w:t xml:space="preserve">The config file</w:t>
      </w:r>
    </w:p>
    <w:p>
      <w:pPr>
        <w:keepNext/>
        <w:spacing w:after="100"/>
      </w:pPr>
      <w:r>
        <w:rPr>
          <w:rFonts w:ascii="Tenorite" w:hAnsi="Tenorite" w:eastAsia="Tenorite"/>
          <w:color w:val="111827"/>
        </w:rPr>
        <w:t xml:space="preserve">The config file has six tabs you may edit. Each holds one Excel table, and the app reads only what is inside those tables.</w:t>
      </w:r>
    </w:p>
    <w:tbl>
      <w:tblPr>
        <w:tblStyle w:val="TableGrid"/>
        <w:tblW w:w="0" w:type="auto"/>
        <w:jc w:val="center"/>
        <w:tblLayout w:type="fixed"/>
        <w:tblLook w:val="04A0" w:firstRow="1" w:lastRow="0" w:firstColumn="0" w:lastColumn="0" w:noHBand="0" w:noVBand="1"/>
        <w:tblBorders>
          <w:top w:val="single" w:sz="6" w:color="D9E2EE"/>
          <w:left w:val="single" w:sz="6" w:color="D9E2EE"/>
          <w:bottom w:val="single" w:sz="6" w:color="D9E2EE"/>
          <w:right w:val="single" w:sz="6" w:color="D9E2EE"/>
          <w:insideH w:val="single" w:sz="6" w:color="D9E2EE"/>
          <w:insideV w:val="single" w:sz="6" w:color="D9E2EE"/>
        </w:tblBorders>
      </w:tblPr>
      <w:tblGrid>
        <w:gridCol w:w="3120"/>
        <w:gridCol w:w="3120"/>
        <w:gridCol w:w="3120"/>
      </w:tblGrid>
      <w:tr>
        <w:trPr>
          <w:tblHeader/>
          <w:tblHeader w:val="true"/>
        </w:trPr>
        <w:tc>
          <w:tcPr>
            <w:tcW w:w="2232"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Tab</w:t>
            </w:r>
          </w:p>
        </w:tc>
        <w:tc>
          <w:tcPr>
            <w:tcW w:w="4464"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What it controls</w:t>
            </w:r>
          </w:p>
        </w:tc>
        <w:tc>
          <w:tcPr>
            <w:tcW w:w="3456"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Change it when you want to…</w:t>
            </w:r>
          </w:p>
        </w:tc>
      </w:tr>
      <w:tr>
        <w:trPr/>
        <w:tc>
          <w:tcPr>
            <w:tcW w:w="2232"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Applications</w:t>
            </w:r>
          </w:p>
        </w:tc>
        <w:tc>
          <w:tcPr>
            <w:tcW w:w="446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The Application Name list on Page 1</w:t>
            </w:r>
          </w:p>
        </w:tc>
        <w:tc>
          <w:tcPr>
            <w:tcW w:w="34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Add, hide or rename an application</w:t>
            </w:r>
          </w:p>
        </w:tc>
      </w:tr>
      <w:tr>
        <w:trPr/>
        <w:tc>
          <w:tcPr>
            <w:tcW w:w="2232"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Rates</w:t>
            </w:r>
          </w:p>
        </w:tc>
        <w:tc>
          <w:tcPr>
            <w:tcW w:w="446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Hours per test case, for each application type (the "Default" rates)</w:t>
            </w:r>
          </w:p>
        </w:tc>
        <w:tc>
          <w:tcPr>
            <w:tcW w:w="34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Change the standard rates</w:t>
            </w:r>
          </w:p>
        </w:tc>
      </w:tr>
      <w:tr>
        <w:trPr/>
        <w:tc>
          <w:tcPr>
            <w:tcW w:w="2232"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Rate_Overrides</w:t>
            </w:r>
          </w:p>
        </w:tc>
        <w:tc>
          <w:tcPr>
            <w:tcW w:w="446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Different rates for one specific application</w:t>
            </w:r>
          </w:p>
        </w:tc>
        <w:tc>
          <w:tcPr>
            <w:tcW w:w="34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Give one application its own rates</w:t>
            </w:r>
          </w:p>
        </w:tc>
      </w:tr>
      <w:tr>
        <w:trPr/>
        <w:tc>
          <w:tcPr>
            <w:tcW w:w="2232"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Task_Distribution</w:t>
            </w:r>
          </w:p>
        </w:tc>
        <w:tc>
          <w:tcPr>
            <w:tcW w:w="446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How many test cases each story or requirement produces, per application type</w:t>
            </w:r>
          </w:p>
        </w:tc>
        <w:tc>
          <w:tcPr>
            <w:tcW w:w="34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Change the standard test volumes</w:t>
            </w:r>
          </w:p>
        </w:tc>
      </w:tr>
      <w:tr>
        <w:trPr/>
        <w:tc>
          <w:tcPr>
            <w:tcW w:w="2232"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TaskDist_Overrides</w:t>
            </w:r>
          </w:p>
        </w:tc>
        <w:tc>
          <w:tcPr>
            <w:tcW w:w="446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Different test volumes for one specific application</w:t>
            </w:r>
          </w:p>
        </w:tc>
        <w:tc>
          <w:tcPr>
            <w:tcW w:w="34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Give one application its own volumes</w:t>
            </w:r>
          </w:p>
        </w:tc>
      </w:tr>
      <w:tr>
        <w:trPr/>
        <w:tc>
          <w:tcPr>
            <w:tcW w:w="2232"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App_Settings</w:t>
            </w:r>
          </w:p>
        </w:tc>
        <w:tc>
          <w:tcPr>
            <w:tcW w:w="446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Application types, methodologies and automation tools</w:t>
            </w:r>
          </w:p>
        </w:tc>
        <w:tc>
          <w:tcPr>
            <w:tcW w:w="34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Rarely; ask the tool owner first</w:t>
            </w:r>
          </w:p>
        </w:tc>
      </w:tr>
    </w:tbl>
    <w:p>
      <w:pPr/>
      <w:r>
        <w:rPr>
          <w:rFonts w:ascii="Tenorite" w:hAnsi="Tenorite" w:eastAsia="Tenorite"/>
        </w:rPr>
        <w:t xml:space="preserve">The </w:t>
      </w:r>
      <w:r>
        <w:rPr>
          <w:rFonts w:ascii="Tenorite" w:hAnsi="Tenorite" w:eastAsia="Tenorite"/>
          <w:b/>
        </w:rPr>
        <w:t xml:space="preserve">Guide</w:t>
      </w:r>
      <w:r>
        <w:rPr>
          <w:rFonts w:ascii="Tenorite" w:hAnsi="Tenorite" w:eastAsia="Tenorite"/>
        </w:rPr>
        <w:t xml:space="preserve"> tab inside the file lists every column and its allowed values.</w:t>
      </w:r>
    </w:p>
    <w:p>
      <w:pPr>
        <w:pStyle w:val="Heading3"/>
        <w:spacing w:before="120" w:after="60"/>
      </w:pPr>
      <w:r>
        <w:rPr>
          <w:rFonts w:ascii="Tenorite" w:hAnsi="Tenorite" w:eastAsia="Tenorite"/>
          <w:b/>
        </w:rPr>
        <w:t xml:space="preserve">Golden rules</w:t>
      </w:r>
    </w:p>
    <w:p>
      <w:pPr>
        <w:pStyle w:val="ListParagraph"/>
        <w:keepLines/>
        <w:numPr>
          <w:ilvl w:val="0"/>
          <w:numId w:val="3"/>
        </w:numPr>
      </w:pPr>
      <w:r>
        <w:rPr>
          <w:rFonts w:ascii="Tenorite" w:hAnsi="Tenorite" w:eastAsia="Tenorite"/>
          <w:color w:val="111827"/>
          <w:sz w:val="17"/>
        </w:rPr>
        <w:t xml:space="preserve">Never rename a tab, a table or a column heading. The app finds data by those names.</w:t>
      </w:r>
    </w:p>
    <w:p>
      <w:pPr>
        <w:pStyle w:val="ListParagraph"/>
        <w:keepLines/>
        <w:numPr>
          <w:ilvl w:val="0"/>
          <w:numId w:val="3"/>
        </w:numPr>
      </w:pPr>
      <w:r>
        <w:rPr>
          <w:rFonts w:ascii="Tenorite" w:hAnsi="Tenorite" w:eastAsia="Tenorite"/>
          <w:color w:val="111827"/>
          <w:sz w:val="17"/>
        </w:rPr>
        <w:t xml:space="preserve">Add new rows directly under the last row of a table, so the table grows to include them. A row outside the table is ignored.</w:t>
      </w:r>
    </w:p>
    <w:p>
      <w:pPr>
        <w:pStyle w:val="ListParagraph"/>
        <w:keepLines/>
        <w:numPr>
          <w:ilvl w:val="0"/>
          <w:numId w:val="3"/>
        </w:numPr>
      </w:pPr>
      <w:r>
        <w:rPr>
          <w:rFonts w:ascii="Tenorite" w:hAnsi="Tenorite" w:eastAsia="Tenorite"/>
          <w:color w:val="111827"/>
          <w:sz w:val="17"/>
        </w:rPr>
        <w:t xml:space="preserve">Do not merge cells, and do not leave blank rows inside a table.</w:t>
      </w:r>
    </w:p>
    <w:p>
      <w:pPr>
        <w:pStyle w:val="ListParagraph"/>
        <w:keepLines/>
        <w:numPr>
          <w:ilvl w:val="0"/>
          <w:numId w:val="3"/>
        </w:numPr>
      </w:pPr>
      <w:r>
        <w:rPr>
          <w:rFonts w:ascii="Tenorite" w:hAnsi="Tenorite" w:eastAsia="Tenorite"/>
          <w:color w:val="111827"/>
          <w:sz w:val="17"/>
        </w:rPr>
        <w:t xml:space="preserve">Keep the file name and folder the same. The app is connected to that exact file.</w:t>
      </w:r>
    </w:p>
    <w:p>
      <w:pPr>
        <w:pStyle w:val="ListParagraph"/>
        <w:keepLines/>
        <w:numPr>
          <w:ilvl w:val="0"/>
          <w:numId w:val="3"/>
        </w:numPr>
      </w:pPr>
      <w:r>
        <w:rPr>
          <w:rFonts w:ascii="Tenorite" w:hAnsi="Tenorite" w:eastAsia="Tenorite"/>
          <w:color w:val="111827"/>
          <w:sz w:val="17"/>
        </w:rPr>
        <w:t xml:space="preserve">Spell names exactly the same everywhere. "ServiceNow" and "Servicenow" are different applications.</w:t>
      </w:r>
    </w:p>
    <w:p>
      <w:pPr>
        <w:pStyle w:val="ListParagraph"/>
        <w:keepLines/>
        <w:numPr>
          <w:ilvl w:val="0"/>
          <w:numId w:val="3"/>
        </w:numPr>
      </w:pPr>
      <w:r>
        <w:rPr>
          <w:rFonts w:ascii="Tenorite" w:hAnsi="Tenorite" w:eastAsia="Tenorite"/>
          <w:color w:val="111827"/>
          <w:sz w:val="17"/>
        </w:rPr>
        <w:t xml:space="preserve">Keep a copy of the file before a big change.</w:t>
      </w:r>
    </w:p>
    <w:p>
      <w:pPr/>
      <w:r>
        <w:rPr>
          <w:rFonts w:ascii="Tenorite" w:hAnsi="Tenorite" w:eastAsia="Tenorite"/>
        </w:rPr>
        <w:t xml:space="preserve">After saving, open the app and press </w:t>
      </w:r>
      <w:r>
        <w:rPr>
          <w:rFonts w:ascii="Tenorite" w:hAnsi="Tenorite" w:eastAsia="Tenorite"/>
          <w:b/>
        </w:rPr>
        <w:t xml:space="preserve">Load / Refresh Config</w:t>
      </w:r>
      <w:r>
        <w:rPr>
          <w:rFonts w:ascii="Tenorite" w:hAnsi="Tenorite" w:eastAsia="Tenorite"/>
        </w:rPr>
        <w:t xml:space="preserve"> on Page 1 to see your change.</w:t>
      </w:r>
    </w:p>
    <w:p>
      <w:pPr>
        <w:pStyle w:val="Heading2"/>
        <w:keepNext/>
        <w:spacing w:before="200" w:after="100"/>
        <w:pageBreakBefore/>
        <w:shd w:fill="EEF5FF"/>
        <w:ind w:left="115"/>
      </w:pPr>
      <w:r>
        <w:rPr>
          <w:rFonts w:ascii="Tenorite" w:hAnsi="Tenorite" w:eastAsia="Tenorite"/>
          <w:b/>
          <w:color w:val="000000"/>
          <w:sz w:val="26"/>
        </w:rPr>
        <w:t xml:space="preserve">Add an application</w:t>
      </w:r>
    </w:p>
    <w:p>
      <w:pPr>
        <w:spacing w:after="100"/>
      </w:pPr>
      <w:r>
        <w:rPr>
          <w:rFonts w:ascii="Tenorite" w:hAnsi="Tenorite" w:eastAsia="Tenorite"/>
          <w:color w:val="111827"/>
        </w:rPr>
        <w:t xml:space="preserve">Adding an application takes one new row on the </w:t>
      </w:r>
      <w:r>
        <w:rPr>
          <w:rFonts w:ascii="Tenorite" w:hAnsi="Tenorite" w:eastAsia="Tenorite"/>
          <w:b/>
        </w:rPr>
        <w:t xml:space="preserve">Applications</w:t>
      </w:r>
      <w:r>
        <w:rPr>
          <w:rFonts w:ascii="Tenorite" w:hAnsi="Tenorite" w:eastAsia="Tenorite"/>
        </w:rPr>
        <w:t xml:space="preserve"> tab. It then uses its type's Default rates and volumes automatically.</w:t>
      </w:r>
    </w:p>
    <w:p>
      <w:pPr>
        <w:pStyle w:val="ListParagraph"/>
        <w:keepLines/>
        <w:numPr>
          <w:ilvl w:val="0"/>
          <w:numId w:val="4"/>
        </w:numPr>
      </w:pPr>
      <w:r>
        <w:rPr>
          <w:rFonts w:ascii="Tenorite" w:hAnsi="Tenorite" w:eastAsia="Tenorite"/>
          <w:color w:val="111827"/>
          <w:sz w:val="17"/>
        </w:rPr>
        <w:t xml:space="preserve">Open the </w:t>
      </w:r>
      <w:r>
        <w:rPr>
          <w:rFonts w:ascii="Tenorite" w:hAnsi="Tenorite" w:eastAsia="Tenorite"/>
          <w:b/>
          <w:color w:val="111827"/>
          <w:sz w:val="17"/>
        </w:rPr>
        <w:t xml:space="preserve">Applications</w:t>
      </w:r>
      <w:r>
        <w:rPr>
          <w:rFonts w:ascii="Tenorite" w:hAnsi="Tenorite" w:eastAsia="Tenorite"/>
          <w:color w:val="111827"/>
          <w:sz w:val="17"/>
        </w:rPr>
        <w:t xml:space="preserve"> tab.</w:t>
      </w:r>
    </w:p>
    <w:p>
      <w:pPr>
        <w:pStyle w:val="ListParagraph"/>
        <w:keepLines/>
        <w:numPr>
          <w:ilvl w:val="0"/>
          <w:numId w:val="4"/>
        </w:numPr>
      </w:pPr>
      <w:r>
        <w:rPr>
          <w:rFonts w:ascii="Tenorite" w:hAnsi="Tenorite" w:eastAsia="Tenorite"/>
          <w:color w:val="111827"/>
          <w:sz w:val="17"/>
        </w:rPr>
        <w:t xml:space="preserve">In the empty row directly under the table, fill in the seven columns:</w:t>
      </w:r>
    </w:p>
    <w:tbl>
      <w:tblPr>
        <w:tblStyle w:val="TableGrid"/>
        <w:tblW w:w="0" w:type="auto"/>
        <w:jc w:val="center"/>
        <w:tblLayout w:type="fixed"/>
        <w:tblLook w:val="04A0" w:firstRow="1" w:lastRow="0" w:firstColumn="0" w:lastColumn="0" w:noHBand="0" w:noVBand="1"/>
        <w:tblBorders>
          <w:top w:val="single" w:sz="6" w:color="D9E2EE"/>
          <w:left w:val="single" w:sz="6" w:color="D9E2EE"/>
          <w:bottom w:val="single" w:sz="6" w:color="D9E2EE"/>
          <w:right w:val="single" w:sz="6" w:color="D9E2EE"/>
          <w:insideH w:val="single" w:sz="6" w:color="D9E2EE"/>
          <w:insideV w:val="single" w:sz="6" w:color="D9E2EE"/>
        </w:tblBorders>
      </w:tblPr>
      <w:tblGrid>
        <w:gridCol w:w="3120"/>
        <w:gridCol w:w="3120"/>
        <w:gridCol w:w="3120"/>
      </w:tblGrid>
      <w:tr>
        <w:trPr>
          <w:tblHeader/>
          <w:tblHeader w:val="true"/>
        </w:trPr>
        <w:tc>
          <w:tcPr>
            <w:tcW w:w="2376"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Column</w:t>
            </w:r>
          </w:p>
        </w:tc>
        <w:tc>
          <w:tcPr>
            <w:tcW w:w="5256"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What to type</w:t>
            </w:r>
          </w:p>
        </w:tc>
        <w:tc>
          <w:tcPr>
            <w:tcW w:w="2520"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Example</w:t>
            </w:r>
          </w:p>
        </w:tc>
      </w:tr>
      <w:tr>
        <w:trPr/>
        <w:tc>
          <w:tcPr>
            <w:tcW w:w="237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ApplicationType</w:t>
            </w:r>
          </w:p>
        </w:tc>
        <w:tc>
          <w:tcPr>
            <w:tcW w:w="52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An existing type: Web, Desktop, Non-SAP ERP or SAP</w:t>
            </w:r>
          </w:p>
        </w:tc>
        <w:tc>
          <w:tcPr>
            <w:tcW w:w="252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Web</w:t>
            </w:r>
          </w:p>
        </w:tc>
      </w:tr>
      <w:tr>
        <w:trPr/>
        <w:tc>
          <w:tcPr>
            <w:tcW w:w="237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ApplicationName</w:t>
            </w:r>
          </w:p>
        </w:tc>
        <w:tc>
          <w:tcPr>
            <w:tcW w:w="52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The name people will see. It must be new within that type</w:t>
            </w:r>
          </w:p>
        </w:tc>
        <w:tc>
          <w:tcPr>
            <w:tcW w:w="252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Billing Portal</w:t>
            </w:r>
          </w:p>
        </w:tc>
      </w:tr>
      <w:tr>
        <w:trPr/>
        <w:tc>
          <w:tcPr>
            <w:tcW w:w="237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ActiveYN</w:t>
            </w:r>
          </w:p>
        </w:tc>
        <w:tc>
          <w:tcPr>
            <w:tcW w:w="52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Y</w:t>
            </w:r>
          </w:p>
        </w:tc>
        <w:tc>
          <w:tcPr>
            <w:tcW w:w="252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Y</w:t>
            </w:r>
          </w:p>
        </w:tc>
      </w:tr>
      <w:tr>
        <w:trPr/>
        <w:tc>
          <w:tcPr>
            <w:tcW w:w="237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DisplayOrder</w:t>
            </w:r>
          </w:p>
        </w:tc>
        <w:tc>
          <w:tcPr>
            <w:tcW w:w="52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 whole number; lower numbers appear higher in the list</w:t>
            </w:r>
          </w:p>
        </w:tc>
        <w:tc>
          <w:tcPr>
            <w:tcW w:w="252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17</w:t>
            </w:r>
          </w:p>
        </w:tc>
      </w:tr>
      <w:tr>
        <w:trPr/>
        <w:tc>
          <w:tcPr>
            <w:tcW w:w="237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Methodology</w:t>
            </w:r>
          </w:p>
        </w:tc>
        <w:tc>
          <w:tcPr>
            <w:tcW w:w="52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Leave blank to let users choose. Type Agile or Waterfall to fix it</w:t>
            </w:r>
          </w:p>
        </w:tc>
        <w:tc>
          <w:tcPr>
            <w:tcW w:w="252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(blank)</w:t>
            </w:r>
          </w:p>
        </w:tc>
      </w:tr>
      <w:tr>
        <w:trPr/>
        <w:tc>
          <w:tcPr>
            <w:tcW w:w="237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ScopeModel</w:t>
            </w:r>
          </w:p>
        </w:tc>
        <w:tc>
          <w:tcPr>
            <w:tcW w:w="5256"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Always leave blank</w:t>
            </w:r>
          </w:p>
        </w:tc>
        <w:tc>
          <w:tcPr>
            <w:tcW w:w="252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(blank)</w:t>
            </w:r>
          </w:p>
        </w:tc>
      </w:tr>
      <w:tr>
        <w:trPr/>
        <w:tc>
          <w:tcPr>
            <w:tcW w:w="237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VolumeOverrideMode</w:t>
            </w:r>
          </w:p>
        </w:tc>
        <w:tc>
          <w:tcPr>
            <w:tcW w:w="5256"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Inherit</w:t>
            </w:r>
          </w:p>
        </w:tc>
        <w:tc>
          <w:tcPr>
            <w:tcW w:w="252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Inherit</w:t>
            </w:r>
          </w:p>
        </w:tc>
      </w:tr>
    </w:tbl>
    <w:p>
      <w:pPr>
        <w:pStyle w:val="ListParagraph"/>
        <w:keepLines/>
        <w:numPr>
          <w:ilvl w:val="0"/>
          <w:numId w:val="5"/>
        </w:numPr>
      </w:pPr>
      <w:r>
        <w:rPr>
          <w:rFonts w:ascii="Tenorite" w:hAnsi="Tenorite" w:eastAsia="Tenorite"/>
          <w:color w:val="111827"/>
          <w:sz w:val="17"/>
        </w:rPr>
        <w:t xml:space="preserve">Save the file, then press </w:t>
      </w:r>
      <w:r>
        <w:rPr>
          <w:rFonts w:ascii="Tenorite" w:hAnsi="Tenorite" w:eastAsia="Tenorite"/>
          <w:b/>
          <w:color w:val="111827"/>
          <w:sz w:val="17"/>
        </w:rPr>
        <w:t xml:space="preserve">Load / Refresh Config</w:t>
      </w:r>
      <w:r>
        <w:rPr>
          <w:rFonts w:ascii="Tenorite" w:hAnsi="Tenorite" w:eastAsia="Tenorite"/>
          <w:color w:val="111827"/>
          <w:sz w:val="17"/>
        </w:rPr>
        <w:t xml:space="preserve"> in the app. The new name appears under its Application Type.</w:t>
      </w:r>
    </w:p>
    <w:p>
      <w:pPr/>
      <w:r>
        <w:rPr>
          <w:rFonts w:ascii="Tenorite" w:hAnsi="Tenorite" w:eastAsia="Tenorite"/>
        </w:rPr>
        <w:t xml:space="preserve">Do not type </w:t>
      </w:r>
      <w:r>
        <w:rPr>
          <w:rFonts w:ascii="Tenorite" w:hAnsi="Tenorite" w:eastAsia="Tenorite"/>
          <w:b/>
        </w:rPr>
        <w:t xml:space="preserve">TestConditions</w:t>
      </w:r>
      <w:r>
        <w:rPr>
          <w:rFonts w:ascii="Tenorite" w:hAnsi="Tenorite" w:eastAsia="Tenorite"/>
        </w:rPr>
        <w:t xml:space="preserve"> in ScopeModel. That switches on the SAP RFC pages, which Org2 does not use.</w:t>
      </w:r>
    </w:p>
    <w:p>
      <w:pPr/>
      <w:r>
        <w:rPr>
          <w:rFonts w:ascii="Tenorite" w:hAnsi="Tenorite" w:eastAsia="Tenorite"/>
        </w:rPr>
        <w:t xml:space="preserve">To give the new application its own rates, see "Update rates" below.</w:t>
      </w:r>
    </w:p>
    <w:p>
      <w:pPr>
        <w:pStyle w:val="Heading2"/>
        <w:keepNext/>
        <w:spacing w:before="200" w:after="100"/>
        <w:shd w:fill="EEF5FF"/>
        <w:ind w:left="115"/>
      </w:pPr>
      <w:r>
        <w:rPr>
          <w:rFonts w:ascii="Tenorite" w:hAnsi="Tenorite" w:eastAsia="Tenorite"/>
          <w:b/>
          <w:color w:val="000000"/>
          <w:sz w:val="26"/>
        </w:rPr>
        <w:t xml:space="preserve">Remove an application</w:t>
      </w:r>
    </w:p>
    <w:p>
      <w:pPr>
        <w:spacing w:after="100"/>
      </w:pPr>
      <w:r>
        <w:rPr>
          <w:rFonts w:ascii="Tenorite" w:hAnsi="Tenorite" w:eastAsia="Tenorite"/>
          <w:color w:val="111827"/>
        </w:rPr>
        <w:t xml:space="preserve">To remove an application, set its </w:t>
      </w:r>
      <w:r>
        <w:rPr>
          <w:rFonts w:ascii="Tenorite" w:hAnsi="Tenorite" w:eastAsia="Tenorite"/>
          <w:b/>
        </w:rPr>
        <w:t xml:space="preserve">ActiveYN</w:t>
      </w:r>
      <w:r>
        <w:rPr>
          <w:rFonts w:ascii="Tenorite" w:hAnsi="Tenorite" w:eastAsia="Tenorite"/>
        </w:rPr>
        <w:t xml:space="preserve"> to </w:t>
      </w:r>
      <w:r>
        <w:rPr>
          <w:rFonts w:ascii="Tenorite" w:hAnsi="Tenorite" w:eastAsia="Tenorite"/>
          <w:b/>
        </w:rPr>
        <w:t xml:space="preserve">N</w:t>
      </w:r>
      <w:r>
        <w:rPr>
          <w:rFonts w:ascii="Tenorite" w:hAnsi="Tenorite" w:eastAsia="Tenorite"/>
        </w:rPr>
        <w:t xml:space="preserve"> on the Applications tab. It disappears from the Page 1 list, and its row stays in the file in case you need it again.</w:t>
      </w:r>
    </w:p>
    <w:p>
      <w:pPr>
        <w:pStyle w:val="ListParagraph"/>
        <w:keepLines/>
        <w:numPr>
          <w:ilvl w:val="0"/>
          <w:numId w:val="6"/>
        </w:numPr>
      </w:pPr>
      <w:r>
        <w:rPr>
          <w:rFonts w:ascii="Tenorite" w:hAnsi="Tenorite" w:eastAsia="Tenorite"/>
          <w:color w:val="111827"/>
          <w:sz w:val="17"/>
        </w:rPr>
        <w:t xml:space="preserve">To bring it back, set ActiveYN to Y.</w:t>
      </w:r>
    </w:p>
    <w:p>
      <w:pPr>
        <w:pStyle w:val="ListParagraph"/>
        <w:keepLines/>
        <w:numPr>
          <w:ilvl w:val="0"/>
          <w:numId w:val="6"/>
        </w:numPr>
      </w:pPr>
      <w:r>
        <w:rPr>
          <w:rFonts w:ascii="Tenorite" w:hAnsi="Tenorite" w:eastAsia="Tenorite"/>
          <w:color w:val="111827"/>
          <w:sz w:val="17"/>
        </w:rPr>
        <w:t xml:space="preserve">Avoid deleting the row. If you do delete it, also delete any rows with the same ApplicationName on Rate_Overrides and TaskDist_Overrides.</w:t>
      </w:r>
    </w:p>
    <w:p>
      <w:pPr>
        <w:pStyle w:val="ListParagraph"/>
        <w:keepLines/>
        <w:numPr>
          <w:ilvl w:val="0"/>
          <w:numId w:val="6"/>
        </w:numPr>
      </w:pPr>
      <w:r>
        <w:rPr>
          <w:rFonts w:ascii="Tenorite" w:hAnsi="Tenorite" w:eastAsia="Tenorite"/>
          <w:color w:val="111827"/>
          <w:sz w:val="17"/>
        </w:rPr>
        <w:t xml:space="preserve">Never hide or delete the </w:t>
      </w:r>
      <w:r>
        <w:rPr>
          <w:rFonts w:ascii="Tenorite" w:hAnsi="Tenorite" w:eastAsia="Tenorite"/>
          <w:b/>
          <w:color w:val="111827"/>
          <w:sz w:val="17"/>
        </w:rPr>
        <w:t xml:space="preserve">Default</w:t>
      </w:r>
      <w:r>
        <w:rPr>
          <w:rFonts w:ascii="Tenorite" w:hAnsi="Tenorite" w:eastAsia="Tenorite"/>
          <w:color w:val="111827"/>
          <w:sz w:val="17"/>
        </w:rPr>
        <w:t xml:space="preserve"> row of a type. Every other application of that type depends on it.</w:t>
      </w:r>
    </w:p>
    <w:p>
      <w:pPr>
        <w:pStyle w:val="Heading2"/>
        <w:keepNext/>
        <w:spacing w:before="200" w:after="100"/>
        <w:pageBreakBefore/>
        <w:shd w:fill="EEF5FF"/>
        <w:ind w:left="115"/>
      </w:pPr>
      <w:r>
        <w:rPr>
          <w:rFonts w:ascii="Tenorite" w:hAnsi="Tenorite" w:eastAsia="Tenorite"/>
          <w:b/>
          <w:color w:val="000000"/>
          <w:sz w:val="26"/>
        </w:rPr>
        <w:t xml:space="preserve">Update rates</w:t>
      </w:r>
    </w:p>
    <w:p>
      <w:pPr>
        <w:spacing w:after="100"/>
      </w:pPr>
      <w:r>
        <w:rPr>
          <w:rFonts w:ascii="Tenorite" w:hAnsi="Tenorite" w:eastAsia="Tenorite"/>
          <w:color w:val="111827"/>
        </w:rPr>
        <w:t xml:space="preserve">A rate is the hours needed for one test case. Each rate row is one combination of testing type, subtype and size, split into four hour columns.</w:t>
      </w:r>
    </w:p>
    <w:tbl>
      <w:tblPr>
        <w:tblStyle w:val="TableGrid"/>
        <w:tblW w:w="0" w:type="auto"/>
        <w:jc w:val="center"/>
        <w:tblLayout w:type="fixed"/>
        <w:tblLook w:val="04A0" w:firstRow="1" w:lastRow="0" w:firstColumn="0" w:lastColumn="0" w:noHBand="0" w:noVBand="1"/>
        <w:tblBorders>
          <w:top w:val="single" w:sz="6" w:color="D9E2EE"/>
          <w:left w:val="single" w:sz="6" w:color="D9E2EE"/>
          <w:bottom w:val="single" w:sz="6" w:color="D9E2EE"/>
          <w:right w:val="single" w:sz="6" w:color="D9E2EE"/>
          <w:insideH w:val="single" w:sz="6" w:color="D9E2EE"/>
          <w:insideV w:val="single" w:sz="6" w:color="D9E2EE"/>
        </w:tblBorders>
      </w:tblPr>
      <w:tblGrid>
        <w:gridCol w:w="3120"/>
        <w:gridCol w:w="3120"/>
        <w:gridCol w:w="3120"/>
      </w:tblGrid>
      <w:tr>
        <w:trPr>
          <w:tblHeader/>
          <w:tblHeader w:val="true"/>
        </w:trPr>
        <w:tc>
          <w:tcPr>
            <w:tcW w:w="1944"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Column</w:t>
            </w:r>
          </w:p>
        </w:tc>
        <w:tc>
          <w:tcPr>
            <w:tcW w:w="5400"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Meaning</w:t>
            </w:r>
          </w:p>
        </w:tc>
        <w:tc>
          <w:tcPr>
            <w:tcW w:w="2808"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Example</w:t>
            </w:r>
          </w:p>
        </w:tc>
      </w:tr>
      <w:tr>
        <w:trPr/>
        <w:tc>
          <w:tcPr>
            <w:tcW w:w="194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ApplicationType</w:t>
            </w:r>
          </w:p>
        </w:tc>
        <w:tc>
          <w:tcPr>
            <w:tcW w:w="540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Which type the rate is for</w:t>
            </w:r>
          </w:p>
        </w:tc>
        <w:tc>
          <w:tcPr>
            <w:tcW w:w="280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Web</w:t>
            </w:r>
          </w:p>
        </w:tc>
      </w:tr>
      <w:tr>
        <w:trPr/>
        <w:tc>
          <w:tcPr>
            <w:tcW w:w="194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ApplicationName</w:t>
            </w:r>
          </w:p>
        </w:tc>
        <w:tc>
          <w:tcPr>
            <w:tcW w:w="540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Default on the Rates tab; the application's name on Rate_Overrides</w:t>
            </w:r>
          </w:p>
        </w:tc>
        <w:tc>
          <w:tcPr>
            <w:tcW w:w="280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Default</w:t>
            </w:r>
          </w:p>
        </w:tc>
      </w:tr>
      <w:tr>
        <w:trPr/>
        <w:tc>
          <w:tcPr>
            <w:tcW w:w="194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TestingType</w:t>
            </w:r>
          </w:p>
        </w:tc>
        <w:tc>
          <w:tcPr>
            <w:tcW w:w="540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Manual, Automation or Performance</w:t>
            </w:r>
          </w:p>
        </w:tc>
        <w:tc>
          <w:tcPr>
            <w:tcW w:w="280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Manual</w:t>
            </w:r>
          </w:p>
        </w:tc>
      </w:tr>
      <w:tr>
        <w:trPr/>
        <w:tc>
          <w:tcPr>
            <w:tcW w:w="194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AutomationTool</w:t>
            </w:r>
          </w:p>
        </w:tc>
        <w:tc>
          <w:tcPr>
            <w:tcW w:w="540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Selenium, Tosca or Playwright for Automation rows; blank otherwise</w:t>
            </w:r>
          </w:p>
        </w:tc>
        <w:tc>
          <w:tcPr>
            <w:tcW w:w="280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(blank)</w:t>
            </w:r>
          </w:p>
        </w:tc>
      </w:tr>
      <w:tr>
        <w:trPr/>
        <w:tc>
          <w:tcPr>
            <w:tcW w:w="194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SubType</w:t>
            </w:r>
          </w:p>
        </w:tc>
        <w:tc>
          <w:tcPr>
            <w:tcW w:w="540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UI, E2E, API (or Load, Stress, Endurance for Performance)</w:t>
            </w:r>
          </w:p>
        </w:tc>
        <w:tc>
          <w:tcPr>
            <w:tcW w:w="280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UI</w:t>
            </w:r>
          </w:p>
        </w:tc>
      </w:tr>
      <w:tr>
        <w:trPr/>
        <w:tc>
          <w:tcPr>
            <w:tcW w:w="194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Size</w:t>
            </w:r>
          </w:p>
        </w:tc>
        <w:tc>
          <w:tcPr>
            <w:tcW w:w="540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XS, S, M, L or XL</w:t>
            </w:r>
          </w:p>
        </w:tc>
        <w:tc>
          <w:tcPr>
            <w:tcW w:w="280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M</w:t>
            </w:r>
          </w:p>
        </w:tc>
      </w:tr>
      <w:tr>
        <w:trPr/>
        <w:tc>
          <w:tcPr>
            <w:tcW w:w="194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AnalysisHours, TestDesignHours, DataPrepHours, ExecutionHours</w:t>
            </w:r>
          </w:p>
        </w:tc>
        <w:tc>
          <w:tcPr>
            <w:tcW w:w="5400"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Hours per test case for each activity</w:t>
            </w:r>
          </w:p>
        </w:tc>
        <w:tc>
          <w:tcPr>
            <w:tcW w:w="280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0.2, 0.4, 0.2, 1.4</w:t>
            </w:r>
          </w:p>
        </w:tc>
      </w:tr>
      <w:tr>
        <w:trPr/>
        <w:tc>
          <w:tcPr>
            <w:tcW w:w="194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TotalHours</w:t>
            </w:r>
          </w:p>
        </w:tc>
        <w:tc>
          <w:tcPr>
            <w:tcW w:w="5400"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The four hour columns added together</w:t>
            </w:r>
          </w:p>
        </w:tc>
        <w:tc>
          <w:tcPr>
            <w:tcW w:w="280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2.2</w:t>
            </w:r>
          </w:p>
        </w:tc>
      </w:tr>
    </w:tbl>
    <w:p>
      <w:pPr>
        <w:pStyle w:val="Heading3"/>
        <w:spacing w:before="120" w:after="60"/>
      </w:pPr>
      <w:r>
        <w:rPr>
          <w:rFonts w:ascii="Tenorite" w:hAnsi="Tenorite" w:eastAsia="Tenorite"/>
          <w:b/>
        </w:rPr>
        <w:t xml:space="preserve">Change the standard rates for a whole type</w:t>
      </w:r>
    </w:p>
    <w:p>
      <w:pPr>
        <w:pStyle w:val="ListParagraph"/>
        <w:keepLines/>
        <w:numPr>
          <w:ilvl w:val="0"/>
          <w:numId w:val="7"/>
        </w:numPr>
      </w:pPr>
      <w:r>
        <w:rPr>
          <w:rFonts w:ascii="Tenorite" w:hAnsi="Tenorite" w:eastAsia="Tenorite"/>
          <w:color w:val="111827"/>
          <w:sz w:val="17"/>
        </w:rPr>
        <w:t xml:space="preserve">Open the </w:t>
      </w:r>
      <w:r>
        <w:rPr>
          <w:rFonts w:ascii="Tenorite" w:hAnsi="Tenorite" w:eastAsia="Tenorite"/>
          <w:b/>
          <w:color w:val="111827"/>
          <w:sz w:val="17"/>
        </w:rPr>
        <w:t xml:space="preserve">Rates</w:t>
      </w:r>
      <w:r>
        <w:rPr>
          <w:rFonts w:ascii="Tenorite" w:hAnsi="Tenorite" w:eastAsia="Tenorite"/>
          <w:color w:val="111827"/>
          <w:sz w:val="17"/>
        </w:rPr>
        <w:t xml:space="preserve"> tab and find the row: filter by ApplicationType, TestingType, SubType and Size.</w:t>
      </w:r>
    </w:p>
    <w:p>
      <w:pPr>
        <w:pStyle w:val="ListParagraph"/>
        <w:keepLines/>
        <w:numPr>
          <w:ilvl w:val="0"/>
          <w:numId w:val="7"/>
        </w:numPr>
      </w:pPr>
      <w:r>
        <w:rPr>
          <w:rFonts w:ascii="Tenorite" w:hAnsi="Tenorite" w:eastAsia="Tenorite"/>
          <w:color w:val="111827"/>
          <w:sz w:val="17"/>
        </w:rPr>
        <w:t xml:space="preserve">Change the four hour columns. TotalHours updates by itself.</w:t>
      </w:r>
    </w:p>
    <w:p>
      <w:pPr>
        <w:pStyle w:val="ListParagraph"/>
        <w:keepLines/>
        <w:numPr>
          <w:ilvl w:val="0"/>
          <w:numId w:val="7"/>
        </w:numPr>
      </w:pPr>
      <w:r>
        <w:rPr>
          <w:rFonts w:ascii="Tenorite" w:hAnsi="Tenorite" w:eastAsia="Tenorite"/>
          <w:color w:val="111827"/>
          <w:sz w:val="17"/>
        </w:rPr>
        <w:t xml:space="preserve">Save, then press </w:t>
      </w:r>
      <w:r>
        <w:rPr>
          <w:rFonts w:ascii="Tenorite" w:hAnsi="Tenorite" w:eastAsia="Tenorite"/>
          <w:b/>
          <w:color w:val="111827"/>
          <w:sz w:val="17"/>
        </w:rPr>
        <w:t xml:space="preserve">Load / Refresh Config</w:t>
      </w:r>
      <w:r>
        <w:rPr>
          <w:rFonts w:ascii="Tenorite" w:hAnsi="Tenorite" w:eastAsia="Tenorite"/>
          <w:color w:val="111827"/>
          <w:sz w:val="17"/>
        </w:rPr>
        <w:t xml:space="preserve">. Every application of that type now uses the new rate, unless it has its own override.</w:t>
      </w:r>
    </w:p>
    <w:p>
      <w:pPr>
        <w:pStyle w:val="Heading3"/>
        <w:spacing w:before="120" w:after="60"/>
      </w:pPr>
      <w:r>
        <w:rPr>
          <w:rFonts w:ascii="Tenorite" w:hAnsi="Tenorite" w:eastAsia="Tenorite"/>
          <w:b/>
        </w:rPr>
        <w:t xml:space="preserve">Give one application its own rates</w:t>
      </w:r>
    </w:p>
    <w:p>
      <w:pPr>
        <w:pStyle w:val="ListParagraph"/>
        <w:keepLines/>
        <w:numPr>
          <w:ilvl w:val="0"/>
          <w:numId w:val="8"/>
        </w:numPr>
      </w:pPr>
      <w:r>
        <w:rPr>
          <w:rFonts w:ascii="Tenorite" w:hAnsi="Tenorite" w:eastAsia="Tenorite"/>
          <w:color w:val="111827"/>
          <w:sz w:val="17"/>
        </w:rPr>
        <w:t xml:space="preserve">On the </w:t>
      </w:r>
      <w:r>
        <w:rPr>
          <w:rFonts w:ascii="Tenorite" w:hAnsi="Tenorite" w:eastAsia="Tenorite"/>
          <w:b/>
          <w:color w:val="111827"/>
          <w:sz w:val="17"/>
        </w:rPr>
        <w:t xml:space="preserve">Rates</w:t>
      </w:r>
      <w:r>
        <w:rPr>
          <w:rFonts w:ascii="Tenorite" w:hAnsi="Tenorite" w:eastAsia="Tenorite"/>
          <w:color w:val="111827"/>
          <w:sz w:val="17"/>
        </w:rPr>
        <w:t xml:space="preserve"> tab, copy the Default row you want to change.</w:t>
      </w:r>
    </w:p>
    <w:p>
      <w:pPr>
        <w:pStyle w:val="ListParagraph"/>
        <w:keepLines/>
        <w:numPr>
          <w:ilvl w:val="0"/>
          <w:numId w:val="8"/>
        </w:numPr>
      </w:pPr>
      <w:r>
        <w:rPr>
          <w:rFonts w:ascii="Tenorite" w:hAnsi="Tenorite" w:eastAsia="Tenorite"/>
          <w:color w:val="111827"/>
          <w:sz w:val="17"/>
        </w:rPr>
        <w:t xml:space="preserve">Paste it into the empty row directly under the table on </w:t>
      </w:r>
      <w:r>
        <w:rPr>
          <w:rFonts w:ascii="Tenorite" w:hAnsi="Tenorite" w:eastAsia="Tenorite"/>
          <w:b/>
          <w:color w:val="111827"/>
          <w:sz w:val="17"/>
        </w:rPr>
        <w:t xml:space="preserve">Rate_Overrides</w:t>
      </w:r>
      <w:r>
        <w:rPr>
          <w:rFonts w:ascii="Tenorite" w:hAnsi="Tenorite" w:eastAsia="Tenorite"/>
          <w:color w:val="111827"/>
          <w:sz w:val="17"/>
        </w:rPr>
        <w:t xml:space="preserve">.</w:t>
      </w:r>
    </w:p>
    <w:p>
      <w:pPr>
        <w:pStyle w:val="ListParagraph"/>
        <w:keepLines/>
        <w:numPr>
          <w:ilvl w:val="0"/>
          <w:numId w:val="8"/>
        </w:numPr>
      </w:pPr>
      <w:r>
        <w:rPr>
          <w:rFonts w:ascii="Tenorite" w:hAnsi="Tenorite" w:eastAsia="Tenorite"/>
          <w:color w:val="111827"/>
          <w:sz w:val="17"/>
        </w:rPr>
        <w:t xml:space="preserve">Change </w:t>
      </w:r>
      <w:r>
        <w:rPr>
          <w:rFonts w:ascii="Tenorite" w:hAnsi="Tenorite" w:eastAsia="Tenorite"/>
          <w:b/>
          <w:color w:val="111827"/>
          <w:sz w:val="17"/>
        </w:rPr>
        <w:t xml:space="preserve">ApplicationName</w:t>
      </w:r>
      <w:r>
        <w:rPr>
          <w:rFonts w:ascii="Tenorite" w:hAnsi="Tenorite" w:eastAsia="Tenorite"/>
          <w:color w:val="111827"/>
          <w:sz w:val="17"/>
        </w:rPr>
        <w:t xml:space="preserve"> from Default to the application's exact name.</w:t>
      </w:r>
    </w:p>
    <w:p>
      <w:pPr>
        <w:pStyle w:val="ListParagraph"/>
        <w:keepLines/>
        <w:numPr>
          <w:ilvl w:val="0"/>
          <w:numId w:val="8"/>
        </w:numPr>
      </w:pPr>
      <w:r>
        <w:rPr>
          <w:rFonts w:ascii="Tenorite" w:hAnsi="Tenorite" w:eastAsia="Tenorite"/>
          <w:color w:val="111827"/>
          <w:sz w:val="17"/>
        </w:rPr>
        <w:t xml:space="preserve">Change the hour columns, and set TotalHours to their sum. Use the Notes column to say why.</w:t>
      </w:r>
    </w:p>
    <w:p>
      <w:pPr>
        <w:pStyle w:val="ListParagraph"/>
        <w:keepLines/>
        <w:numPr>
          <w:ilvl w:val="0"/>
          <w:numId w:val="8"/>
        </w:numPr>
      </w:pPr>
      <w:r>
        <w:rPr>
          <w:rFonts w:ascii="Tenorite" w:hAnsi="Tenorite" w:eastAsia="Tenorite"/>
          <w:color w:val="111827"/>
          <w:sz w:val="17"/>
        </w:rPr>
        <w:t xml:space="preserve">Repeat for each size you want to change. Sizes without an override row keep the Default rate.</w:t>
      </w:r>
    </w:p>
    <w:p>
      <w:pPr>
        <w:pStyle w:val="ListParagraph"/>
        <w:keepLines/>
        <w:numPr>
          <w:ilvl w:val="0"/>
          <w:numId w:val="8"/>
        </w:numPr>
      </w:pPr>
      <w:r>
        <w:rPr>
          <w:rFonts w:ascii="Tenorite" w:hAnsi="Tenorite" w:eastAsia="Tenorite"/>
          <w:color w:val="111827"/>
          <w:sz w:val="17"/>
        </w:rPr>
        <w:t xml:space="preserve">Save, then press </w:t>
      </w:r>
      <w:r>
        <w:rPr>
          <w:rFonts w:ascii="Tenorite" w:hAnsi="Tenorite" w:eastAsia="Tenorite"/>
          <w:b/>
          <w:color w:val="111827"/>
          <w:sz w:val="17"/>
        </w:rPr>
        <w:t xml:space="preserve">Load / Refresh Config</w:t>
      </w:r>
      <w:r>
        <w:rPr>
          <w:rFonts w:ascii="Tenorite" w:hAnsi="Tenorite" w:eastAsia="Tenorite"/>
          <w:color w:val="111827"/>
          <w:sz w:val="17"/>
        </w:rPr>
        <w:t xml:space="preserve">.</w:t>
      </w:r>
    </w:p>
    <w:p>
      <w:pPr/>
      <w:r>
        <w:rPr>
          <w:rFonts w:ascii="Tenorite" w:hAnsi="Tenorite" w:eastAsia="Tenorite"/>
        </w:rPr>
        <w:t xml:space="preserve">To undo an override, delete its row from Rate_Overrides. The application goes back to the Default rate.</w:t>
      </w:r>
    </w:p>
    <w:p>
      <w:pPr/>
      <w:r>
        <w:rPr>
          <w:rFonts w:ascii="Tenorite" w:hAnsi="Tenorite" w:eastAsia="Tenorite"/>
        </w:rPr>
        <w:t xml:space="preserve">Test volumes (how many cases each story or requirement produces) work the same way on </w:t>
      </w:r>
      <w:r>
        <w:rPr>
          <w:rFonts w:ascii="Tenorite" w:hAnsi="Tenorite" w:eastAsia="Tenorite"/>
          <w:b/>
        </w:rPr>
        <w:t xml:space="preserve">Task_Distribution</w:t>
      </w:r>
      <w:r>
        <w:rPr>
          <w:rFonts w:ascii="Tenorite" w:hAnsi="Tenorite" w:eastAsia="Tenorite"/>
        </w:rPr>
        <w:t xml:space="preserve"> and </w:t>
      </w:r>
      <w:r>
        <w:rPr>
          <w:rFonts w:ascii="Tenorite" w:hAnsi="Tenorite" w:eastAsia="Tenorite"/>
          <w:b/>
        </w:rPr>
        <w:t xml:space="preserve">TaskDist_Overrides</w:t>
      </w:r>
      <w:r>
        <w:rPr>
          <w:rFonts w:ascii="Tenorite" w:hAnsi="Tenorite" w:eastAsia="Tenorite"/>
        </w:rPr>
        <w:t xml:space="preserve">. Overrides there also need </w:t>
      </w:r>
      <w:r>
        <w:rPr>
          <w:rFonts w:ascii="Tenorite" w:hAnsi="Tenorite" w:eastAsia="Tenorite"/>
          <w:b/>
        </w:rPr>
        <w:t xml:space="preserve">Action = Upsert</w:t>
      </w:r>
      <w:r>
        <w:rPr>
          <w:rFonts w:ascii="Tenorite" w:hAnsi="Tenorite" w:eastAsia="Tenorite"/>
        </w:rPr>
        <w:t xml:space="preserve">; the Guide tab in the file explains the rest.</w:t>
      </w:r>
    </w:p>
    <w:p>
      <w:pPr>
        <w:pStyle w:val="Heading2"/>
        <w:keepNext/>
        <w:spacing w:before="200" w:after="100"/>
        <w:shd w:fill="EEF5FF"/>
        <w:ind w:left="115"/>
      </w:pPr>
      <w:r>
        <w:rPr>
          <w:rFonts w:ascii="Tenorite" w:hAnsi="Tenorite" w:eastAsia="Tenorite"/>
          <w:b/>
          <w:color w:val="000000"/>
          <w:sz w:val="26"/>
        </w:rPr>
        <w:t xml:space="preserve">If something looks wrong</w:t>
      </w:r>
    </w:p>
    <w:tbl>
      <w:tblPr>
        <w:tblStyle w:val="TableGrid"/>
        <w:tblW w:w="0" w:type="auto"/>
        <w:jc w:val="center"/>
        <w:tblLayout w:type="fixed"/>
        <w:tblLook w:val="04A0" w:firstRow="1" w:lastRow="0" w:firstColumn="0" w:lastColumn="0" w:noHBand="0" w:noVBand="1"/>
        <w:tblBorders>
          <w:top w:val="single" w:sz="6" w:color="D9E2EE"/>
          <w:left w:val="single" w:sz="6" w:color="D9E2EE"/>
          <w:bottom w:val="single" w:sz="6" w:color="D9E2EE"/>
          <w:right w:val="single" w:sz="6" w:color="D9E2EE"/>
          <w:insideH w:val="single" w:sz="6" w:color="D9E2EE"/>
          <w:insideV w:val="single" w:sz="6" w:color="D9E2EE"/>
        </w:tblBorders>
      </w:tblPr>
      <w:tblGrid>
        <w:gridCol w:w="4680"/>
        <w:gridCol w:w="4680"/>
      </w:tblGrid>
      <w:tr>
        <w:trPr>
          <w:tblHeader/>
          <w:tblHeader w:val="true"/>
        </w:trPr>
        <w:tc>
          <w:tcPr>
            <w:tcW w:w="3024"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Problem</w:t>
            </w:r>
          </w:p>
        </w:tc>
        <w:tc>
          <w:tcPr>
            <w:tcW w:w="7128" w:type="dxa"/>
            <w:shd w:val="clear" w:color="auto" w:fill="0F1E3E"/>
            <w:vAlign w:val="center"/>
            <w:tcMar>
              <w:top w:w="70" w:type="dxa"/>
              <w:start w:w="110" w:type="dxa"/>
              <w:bottom w:w="70" w:type="dxa"/>
              <w:end w:w="110" w:type="dxa"/>
            </w:tcMar>
          </w:tcPr>
          <w:p>
            <w:pPr>
              <w:spacing w:after="0" w:line="252" w:lineRule="auto"/>
            </w:pPr>
            <w:r>
              <w:rPr>
                <w:rFonts w:ascii="Tenorite" w:hAnsi="Tenorite" w:eastAsia="Tenorite"/>
                <w:b/>
                <w:color w:val="FFFFFF"/>
                <w:sz w:val="15"/>
              </w:rPr>
              <w:t xml:space="preserve">What to check</w:t>
            </w:r>
          </w:p>
        </w:tc>
      </w:tr>
      <w:tr>
        <w:trPr/>
        <w:tc>
          <w:tcPr>
            <w:tcW w:w="302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My change does not show</w:t>
            </w:r>
          </w:p>
        </w:tc>
        <w:tc>
          <w:tcPr>
            <w:tcW w:w="712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Was the file saved? Press </w:t>
            </w:r>
            <w:r>
              <w:rPr>
                <w:rFonts w:ascii="Tenorite" w:hAnsi="Tenorite" w:eastAsia="Tenorite"/>
                <w:b w:val="0"/>
                <w:color w:val="111827"/>
                <w:sz w:val="15"/>
              </w:rPr>
              <w:t xml:space="preserve">Load / Refresh Config</w:t>
            </w:r>
            <w:r>
              <w:rPr>
                <w:rFonts w:ascii="Tenorite" w:hAnsi="Tenorite" w:eastAsia="Tenorite"/>
                <w:b w:val="0"/>
                <w:color w:val="111827"/>
                <w:sz w:val="15"/>
              </w:rPr>
              <w:t xml:space="preserve"> again. If it still does not show, wait a minute and retry.</w:t>
            </w:r>
          </w:p>
        </w:tc>
      </w:tr>
      <w:tr>
        <w:trPr/>
        <w:tc>
          <w:tcPr>
            <w:tcW w:w="302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 new application is missing</w:t>
            </w:r>
          </w:p>
        </w:tc>
        <w:tc>
          <w:tcPr>
            <w:tcW w:w="712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Is ActiveYN = Y? Is the row inside the table? Is ApplicationType spelled exactly like an existing type?</w:t>
            </w:r>
          </w:p>
        </w:tc>
      </w:tr>
      <w:tr>
        <w:trPr/>
        <w:tc>
          <w:tcPr>
            <w:tcW w:w="302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An estimate shows 0 hours</w:t>
            </w:r>
          </w:p>
        </w:tc>
        <w:tc>
          <w:tcPr>
            <w:tcW w:w="712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 rate row is missing or blank. Check the Default rows on the Rates tab for that type.</w:t>
            </w:r>
          </w:p>
        </w:tc>
      </w:tr>
      <w:tr>
        <w:trPr/>
        <w:tc>
          <w:tcPr>
            <w:tcW w:w="3024"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An override has no effect</w:t>
            </w:r>
          </w:p>
        </w:tc>
        <w:tc>
          <w:tcPr>
            <w:tcW w:w="7128" w:type="dxa"/>
            <w:vAlign w:val="center"/>
            <w:tcMar>
              <w:top w:w="70" w:type="dxa"/>
              <w:start w:w="110" w:type="dxa"/>
              <w:bottom w:w="70" w:type="dxa"/>
              <w:end w:w="110" w:type="dxa"/>
            </w:tcMar>
            <w:shd w:fill="EEF5FF"/>
          </w:tcPr>
          <w:p>
            <w:pPr>
              <w:spacing w:after="0" w:line="252" w:lineRule="auto"/>
            </w:pPr>
            <w:r>
              <w:rPr>
                <w:rFonts w:ascii="Tenorite" w:hAnsi="Tenorite" w:eastAsia="Tenorite"/>
                <w:b w:val="0"/>
                <w:color w:val="111827"/>
                <w:sz w:val="15"/>
              </w:rPr>
              <w:t xml:space="preserve">Does ApplicationName match the Applications tab exactly? Do TestingType, AutomationTool, SubType and Size match a Default row?</w:t>
            </w:r>
          </w:p>
        </w:tc>
      </w:tr>
      <w:tr>
        <w:trPr/>
        <w:tc>
          <w:tcPr>
            <w:tcW w:w="3024"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The app shows a config error</w:t>
            </w:r>
          </w:p>
        </w:tc>
        <w:tc>
          <w:tcPr>
            <w:tcW w:w="7128" w:type="dxa"/>
            <w:vAlign w:val="center"/>
            <w:tcMar>
              <w:top w:w="70" w:type="dxa"/>
              <w:start w:w="110" w:type="dxa"/>
              <w:bottom w:w="70" w:type="dxa"/>
              <w:end w:w="110" w:type="dxa"/>
            </w:tcMar>
            <w:shd w:fill="FFFFFF"/>
          </w:tcPr>
          <w:p>
            <w:pPr>
              <w:spacing w:after="0" w:line="252" w:lineRule="auto"/>
            </w:pPr>
            <w:r>
              <w:rPr>
                <w:rFonts w:ascii="Tenorite" w:hAnsi="Tenorite" w:eastAsia="Tenorite"/>
                <w:b w:val="0"/>
                <w:color w:val="111827"/>
                <w:sz w:val="15"/>
              </w:rPr>
              <w:t xml:space="preserve">A tab, table or column was probably renamed. Restore the name, or go back to your saved copy.</w:t>
            </w:r>
          </w:p>
        </w:tc>
      </w:tr>
    </w:tbl>
    <w:p>
      <w:pPr>
        <w:spacing w:after="100"/>
      </w:pPr>
      <w:r>
        <w:rPr>
          <w:rFonts w:ascii="Tenorite" w:hAnsi="Tenorite" w:eastAsia="Tenorite"/>
          <w:color w:val="111827"/>
        </w:rPr>
        <w:t xml:space="preserve">Still stuck? Contact the tool owner, and say which application and page you were on.</w:t>
      </w:r>
    </w:p>
    <w:sectPr>
      <w:headerReference w:type="default" r:id="rId3"/>
      <w:footerReference w:type="default" r:id="rId4"/>
      <w:pgSz w:w="12240" w:h="15840"/>
      <w:pgMar w:top="792" w:right="1037" w:bottom="749" w:left="1037" w:header="360" w:footer="36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enorite" w:hAnsi="Tenorite"/>
        <w:color w:val="475569"/>
        <w:sz w:val="15"/>
      </w:rPr>
      <w:t xml:space="preserve">ORG2  |  </w:t>
    </w:r>
    <w:r>
      <w:rPr>
        <w:rFonts w:ascii="Tenorite" w:hAnsi="Tenorite"/>
        <w:color w:val="475569"/>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Tenorite" w:hAnsi="Tenorite"/>
        <w:b/>
        <w:color w:val="0052CC"/>
        <w:sz w:val="15"/>
      </w:rPr>
      <w:t>QA ESTIMATION TOOL  |  ORG2 USER GUIDE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3"/>
    </w:lvlOverride>
  </w:num>
  <w:num w:numId="6">
    <w:abstractNumId w:val="0"/>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after="80" w:line="259" w:lineRule="auto"/>
    </w:pPr>
    <w:rPr>
      <w:rFonts w:ascii="Tenorite" w:hAnsi="Tenorite"/>
      <w:color w:val="111827"/>
      <w:sz w:val="17"/>
    </w:rPr>
  </w:style>
  <w:style w:type="paragraph" w:styleId="Heading1">
    <w:name w:val="heading 1"/>
    <w:basedOn w:val="Normal"/>
    <w:next w:val="Normal"/>
    <w:qFormat/>
    <w:pPr>
      <w:keepNext/>
      <w:spacing w:before="0" w:after="100"/>
      <w:outlineLvl w:val="0"/>
    </w:pPr>
    <w:rPr>
      <w:rFonts w:ascii="Tenorite" w:hAnsi="Tenorite"/>
      <w:b/>
      <w:color w:val="000000"/>
      <w:sz w:val="40"/>
    </w:rPr>
  </w:style>
  <w:style w:type="paragraph" w:styleId="Heading2">
    <w:name w:val="heading 2"/>
    <w:basedOn w:val="Normal"/>
    <w:next w:val="Normal"/>
    <w:qFormat/>
    <w:pPr>
      <w:keepNext/>
      <w:spacing w:before="200" w:after="100"/>
      <w:outlineLvl w:val="1"/>
    </w:pPr>
    <w:rPr>
      <w:rFonts w:ascii="Tenorite" w:hAnsi="Tenorite"/>
      <w:b/>
      <w:color w:val="000000"/>
      <w:sz w:val="26"/>
    </w:rPr>
  </w:style>
  <w:style w:type="paragraph" w:styleId="Heading3">
    <w:name w:val="heading 3"/>
    <w:basedOn w:val="Normal"/>
    <w:next w:val="Normal"/>
    <w:qFormat/>
    <w:pPr>
      <w:keepNext/>
      <w:spacing w:before="200" w:after="100"/>
      <w:outlineLvl w:val="2"/>
    </w:pPr>
    <w:rPr>
      <w:rFonts w:ascii="Tenorite" w:hAnsi="Tenorite"/>
      <w:b/>
      <w:color w:val="000000"/>
      <w:sz w:val="21"/>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100" w:before="0"/>
      <w:contextualSpacing/>
    </w:pPr>
    <w:rPr>
      <w:rFonts w:ascii="Tenorite" w:hAnsi="Tenorite"/>
      <w:b/>
      <w:color w:val="000000"/>
      <w:sz w:val="4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spacing w:after="40" w:line="252" w:lineRule="auto"/>
      <w:ind w:left="346" w:hanging="216"/>
      <w:contextualSpacing/>
    </w:pPr>
    <w:rPr>
      <w:rFonts w:ascii="Tenorite" w:hAnsi="Tenorite"/>
      <w:color w:val="111827"/>
      <w:sz w:val="17"/>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QA Estimation Tool Org2 User Guide</dc:title>
  <dc:description>Claude Docs node/4b8d69a3-2130@7 docx-w6</dc:description>
  <cp:revision>7</cp:revision>
  <dc:subject>Using the QA Estimation Tool and maintaining its configuration</dc:subject>
  <dc:creator>Org2</dc:creator>
  <cp:keywords>QA estimation, Power Apps, configuration, Org2</cp:keywords>
</cp:coreProperties>
</file>