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0E7490"/>
          <w:sz w:val="32"/>
          <w:szCs w:val="32"/>
        </w:rPr>
        <w:t xml:space="preserve">CENTRO MÉDICO VIÑAMED</w:t>
      </w:r>
    </w:p>
    <w:p>
      <w:pPr>
        <w:spacing w:after="60" w:before="0"/>
        <w:jc w:val="center"/>
      </w:pPr>
      <w:r>
        <w:rPr>
          <w:rFonts w:ascii="Arial" w:cs="Arial" w:eastAsia="Arial" w:hAnsi="Arial"/>
          <w:color w:val="374151"/>
          <w:sz w:val="24"/>
          <w:szCs w:val="24"/>
        </w:rPr>
        <w:t xml:space="preserve">Portal del Paciente — Mi Salud</w:t>
      </w:r>
    </w:p>
    <w:p>
      <w:pPr>
        <w:pBdr>
          <w:bottom w:val="single" w:color="0E7490" w:sz="6" w:space="2"/>
        </w:pBdr>
        <w:spacing w:after="60" w:before="0"/>
        <w:jc w:val="center"/>
      </w:pPr>
      <w:r>
        <w:rPr>
          <w:rFonts w:ascii="Arial" w:cs="Arial" w:eastAsia="Arial" w:hAnsi="Arial"/>
          <w:b/>
          <w:bCs/>
          <w:color w:val="374151"/>
          <w:sz w:val="28"/>
          <w:szCs w:val="28"/>
        </w:rPr>
        <w:t xml:space="preserve">POLÍTICA DE PRIVACIDAD Y PROTECCIÓN DE DATOS PERSONALES</w:t>
      </w:r>
    </w:p>
    <w:p>
      <w:pPr>
        <w:spacing w:after="60" w:before="80" w:line="276"/>
        <w:jc w:val="center"/>
      </w:pPr>
      <w:r>
        <w:rPr>
          <w:rFonts w:ascii="Arial" w:cs="Arial" w:eastAsia="Arial" w:hAnsi="Arial"/>
          <w:b w:val="false"/>
          <w:bCs w:val="false"/>
          <w:color w:val="6B7280"/>
          <w:sz w:val="20"/>
          <w:szCs w:val="20"/>
        </w:rPr>
        <w:t xml:space="preserve">Versión: 1.0  |  Fecha de vigencia: enero de 2026  |  Última actualización: enero de 2026</w:t>
      </w:r>
    </w:p>
    <w:p>
      <w:pPr>
        <w:spacing w:after="240" w:before="80" w:line="276"/>
        <w:jc w:val="center"/>
      </w:pPr>
      <w:r>
        <w:rPr>
          <w:rFonts w:ascii="Arial" w:cs="Arial" w:eastAsia="Arial" w:hAnsi="Arial"/>
          <w:b w:val="false"/>
          <w:bCs w:val="false"/>
          <w:color w:val="6B7280"/>
          <w:sz w:val="20"/>
          <w:szCs w:val="20"/>
        </w:rPr>
        <w:t xml:space="preserve">Medio Oriente 831, Of. 408, Viña del Mar · contacto@vinamed.cl · +56 9 3422 2146</w:t>
      </w:r>
    </w:p>
    <w:p>
      <w:pPr>
        <w:pStyle w:val="Heading1"/>
        <w:spacing w:after="120" w:before="360"/>
      </w:pPr>
      <w:r>
        <w:rPr>
          <w:rFonts w:ascii="Arial" w:cs="Arial" w:eastAsia="Arial" w:hAnsi="Arial"/>
          <w:b/>
          <w:bCs/>
          <w:color w:val="0E7490"/>
          <w:sz w:val="28"/>
          <w:szCs w:val="28"/>
        </w:rPr>
        <w:t xml:space="preserve">1. Introducción y responsable del tratamiento</w:t>
      </w:r>
    </w:p>
    <w:p>
      <w:pPr>
        <w:spacing w:after="120" w:before="80" w:line="276"/>
        <w:jc w:val="both"/>
      </w:pPr>
      <w:r>
        <w:rPr>
          <w:rFonts w:ascii="Arial" w:cs="Arial" w:eastAsia="Arial" w:hAnsi="Arial"/>
          <w:b w:val="false"/>
          <w:bCs w:val="false"/>
          <w:color w:val="374151"/>
          <w:sz w:val="22"/>
          <w:szCs w:val="22"/>
        </w:rPr>
        <w:t xml:space="preserve">Centro Médico ViñaMed (en adelante, «el Centro» o «ViñaMed»), RUT 77500907-1, con domicilio en Medio Oriente 831, Of. 408, Viña del Mar, Región de Valparaíso, Chile, es el responsable del tratamiento de sus datos personales en el Portal del Paciente «Mi Salud» (en adelante, «el Portal»).</w:t>
      </w:r>
    </w:p>
    <w:p>
      <w:pPr>
        <w:spacing w:after="120" w:before="80" w:line="276"/>
        <w:jc w:val="both"/>
      </w:pPr>
      <w:r>
        <w:rPr>
          <w:rFonts w:ascii="Arial" w:cs="Arial" w:eastAsia="Arial" w:hAnsi="Arial"/>
          <w:b w:val="false"/>
          <w:bCs w:val="false"/>
          <w:color w:val="374151"/>
          <w:sz w:val="22"/>
          <w:szCs w:val="22"/>
        </w:rPr>
        <w:t xml:space="preserve">El Centro trata datos personales de carácter sensible —en particular, datos de salud— con pleno respeto a la Ley N° 19.628 sobre Protección de la Vida Privada, la Ley N° 20.584 sobre Derechos y Deberes de los Pacientes, y la normativa del Ministerio de Salud (MINSAL) vigente. Asimismo, el Centro se prepara para cumplir el nuevo marco de protección de datos personales (Boletín 11.144-07, en tramitación al momento de la presente versión).</w:t>
      </w:r>
    </w:p>
    <w:p>
      <w:pPr>
        <w:spacing w:after="120" w:before="80" w:line="276"/>
        <w:jc w:val="both"/>
      </w:pPr>
      <w:r>
        <w:rPr>
          <w:rFonts w:ascii="Arial" w:cs="Arial" w:eastAsia="Arial" w:hAnsi="Arial"/>
          <w:b w:val="false"/>
          <w:bCs w:val="false"/>
          <w:color w:val="374151"/>
          <w:sz w:val="22"/>
          <w:szCs w:val="22"/>
        </w:rPr>
        <w:t xml:space="preserve">Para consultas sobre privacidad, puede contactar al Encargado de Datos Personales del Centro: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6016"/>
      </w:tblGrid>
      <w:tr>
        <w:tc>
          <w:tcPr>
            <w:tcW w:type="dxa" w:w="3010"/>
            <w:tcBorders>
              <w:top w:val="single" w:color="E5E7EB" w:sz="1"/>
              <w:left w:val="single" w:color="E5E7EB" w:sz="1"/>
              <w:bottom w:val="single" w:color="E5E7EB" w:sz="1"/>
              <w:right w:val="single" w:color="E5E7EB" w:sz="1"/>
            </w:tcBorders>
            <w:shd w:fill="CFFAFE" w:val="clear"/>
            <w:tcMar>
              <w:top w:type="dxa" w:w="80"/>
              <w:left w:type="dxa" w:w="120"/>
              <w:bottom w:type="dxa" w:w="80"/>
              <w:right w:type="dxa" w:w="120"/>
            </w:tcMar>
          </w:tcPr>
          <w:p>
            <w:r>
              <w:rPr>
                <w:rFonts w:ascii="Arial" w:cs="Arial" w:eastAsia="Arial" w:hAnsi="Arial"/>
                <w:b/>
                <w:bCs/>
                <w:sz w:val="20"/>
                <w:szCs w:val="20"/>
              </w:rPr>
              <w:t xml:space="preserve">Cargo</w:t>
            </w:r>
          </w:p>
        </w:tc>
        <w:tc>
          <w:tcPr>
            <w:tcW w:type="dxa" w:w="601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Encargado de Datos Personales (EDP)</w:t>
            </w:r>
          </w:p>
        </w:tc>
      </w:tr>
      <w:tr>
        <w:tc>
          <w:tcPr>
            <w:tcW w:type="dxa" w:w="3010"/>
            <w:tcBorders>
              <w:top w:val="single" w:color="E5E7EB" w:sz="1"/>
              <w:left w:val="single" w:color="E5E7EB" w:sz="1"/>
              <w:bottom w:val="single" w:color="E5E7EB" w:sz="1"/>
              <w:right w:val="single" w:color="E5E7EB" w:sz="1"/>
            </w:tcBorders>
            <w:shd w:fill="CFFAFE" w:val="clear"/>
            <w:tcMar>
              <w:top w:type="dxa" w:w="80"/>
              <w:left w:type="dxa" w:w="120"/>
              <w:bottom w:type="dxa" w:w="80"/>
              <w:right w:type="dxa" w:w="120"/>
            </w:tcMar>
          </w:tcPr>
          <w:p>
            <w:r>
              <w:rPr>
                <w:rFonts w:ascii="Arial" w:cs="Arial" w:eastAsia="Arial" w:hAnsi="Arial"/>
                <w:b/>
                <w:bCs/>
                <w:sz w:val="20"/>
                <w:szCs w:val="20"/>
              </w:rPr>
              <w:t xml:space="preserve">Correo electrónico</w:t>
            </w:r>
          </w:p>
        </w:tc>
        <w:tc>
          <w:tcPr>
            <w:tcW w:type="dxa" w:w="601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privacidad@vinamed.cl</w:t>
            </w:r>
          </w:p>
        </w:tc>
      </w:tr>
      <w:tr>
        <w:tc>
          <w:tcPr>
            <w:tcW w:type="dxa" w:w="3010"/>
            <w:tcBorders>
              <w:top w:val="single" w:color="E5E7EB" w:sz="1"/>
              <w:left w:val="single" w:color="E5E7EB" w:sz="1"/>
              <w:bottom w:val="single" w:color="E5E7EB" w:sz="1"/>
              <w:right w:val="single" w:color="E5E7EB" w:sz="1"/>
            </w:tcBorders>
            <w:shd w:fill="CFFAFE" w:val="clear"/>
            <w:tcMar>
              <w:top w:type="dxa" w:w="80"/>
              <w:left w:type="dxa" w:w="120"/>
              <w:bottom w:type="dxa" w:w="80"/>
              <w:right w:type="dxa" w:w="120"/>
            </w:tcMar>
          </w:tcPr>
          <w:p>
            <w:r>
              <w:rPr>
                <w:rFonts w:ascii="Arial" w:cs="Arial" w:eastAsia="Arial" w:hAnsi="Arial"/>
                <w:b/>
                <w:bCs/>
                <w:sz w:val="20"/>
                <w:szCs w:val="20"/>
              </w:rPr>
              <w:t xml:space="preserve">Teléfono</w:t>
            </w:r>
          </w:p>
        </w:tc>
        <w:tc>
          <w:tcPr>
            <w:tcW w:type="dxa" w:w="601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+56 9 3422 2146</w:t>
            </w:r>
          </w:p>
        </w:tc>
      </w:tr>
      <w:tr>
        <w:tc>
          <w:tcPr>
            <w:tcW w:type="dxa" w:w="3010"/>
            <w:tcBorders>
              <w:top w:val="single" w:color="E5E7EB" w:sz="1"/>
              <w:left w:val="single" w:color="E5E7EB" w:sz="1"/>
              <w:bottom w:val="single" w:color="E5E7EB" w:sz="1"/>
              <w:right w:val="single" w:color="E5E7EB" w:sz="1"/>
            </w:tcBorders>
            <w:shd w:fill="CFFAFE" w:val="clear"/>
            <w:tcMar>
              <w:top w:type="dxa" w:w="80"/>
              <w:left w:type="dxa" w:w="120"/>
              <w:bottom w:type="dxa" w:w="80"/>
              <w:right w:type="dxa" w:w="120"/>
            </w:tcMar>
          </w:tcPr>
          <w:p>
            <w:r>
              <w:rPr>
                <w:rFonts w:ascii="Arial" w:cs="Arial" w:eastAsia="Arial" w:hAnsi="Arial"/>
                <w:b/>
                <w:bCs/>
                <w:sz w:val="20"/>
                <w:szCs w:val="20"/>
              </w:rPr>
              <w:t xml:space="preserve">Dirección postal</w:t>
            </w:r>
          </w:p>
        </w:tc>
        <w:tc>
          <w:tcPr>
            <w:tcW w:type="dxa" w:w="601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Medio Oriente 831, Of. 408, Viña del Mar</w:t>
            </w:r>
          </w:p>
        </w:tc>
      </w:tr>
    </w:tbl>
    <w:p>
      <w:pPr>
        <w:pBdr>
          <w:bottom w:val="single" w:color="0E7490" w:sz="4" w:space="1"/>
        </w:pBdr>
        <w:spacing w:after="120" w:before="120"/>
      </w:pPr>
      <w:r>
        <w:t xml:space="preserve"/>
      </w:r>
    </w:p>
    <w:p>
      <w:pPr>
        <w:pStyle w:val="Heading1"/>
        <w:spacing w:after="120" w:before="360"/>
      </w:pPr>
      <w:r>
        <w:rPr>
          <w:rFonts w:ascii="Arial" w:cs="Arial" w:eastAsia="Arial" w:hAnsi="Arial"/>
          <w:b/>
          <w:bCs/>
          <w:color w:val="0E7490"/>
          <w:sz w:val="28"/>
          <w:szCs w:val="28"/>
        </w:rPr>
        <w:t xml:space="preserve">2. Datos personales que tratamos</w:t>
      </w:r>
    </w:p>
    <w:p>
      <w:pPr>
        <w:spacing w:after="120" w:before="80" w:line="276"/>
        <w:jc w:val="both"/>
      </w:pPr>
      <w:r>
        <w:rPr>
          <w:rFonts w:ascii="Arial" w:cs="Arial" w:eastAsia="Arial" w:hAnsi="Arial"/>
          <w:b w:val="false"/>
          <w:bCs w:val="false"/>
          <w:color w:val="374151"/>
          <w:sz w:val="22"/>
          <w:szCs w:val="22"/>
        </w:rPr>
        <w:t xml:space="preserve">En el Portal «Mi Salud» tratamos las siguientes categorías de datos:</w:t>
      </w:r>
    </w:p>
    <w:p>
      <w:pPr>
        <w:pStyle w:val="Heading2"/>
        <w:spacing w:after="80" w:before="240"/>
      </w:pPr>
      <w:r>
        <w:rPr>
          <w:rFonts w:ascii="Arial" w:cs="Arial" w:eastAsia="Arial" w:hAnsi="Arial"/>
          <w:b/>
          <w:bCs/>
          <w:color w:val="374151"/>
          <w:sz w:val="22"/>
          <w:szCs w:val="22"/>
        </w:rPr>
        <w:t xml:space="preserve">2.1 Datos de identificación y contacto</w:t>
      </w:r>
    </w:p>
    <w:p>
      <w:pPr>
        <w:pStyle w:val="ListParagraph"/>
        <w:numPr>
          <w:ilvl w:val="0"/>
          <w:numId w:val="2"/>
        </w:numPr>
        <w:spacing w:after="60" w:before="60"/>
      </w:pPr>
      <w:r>
        <w:rPr>
          <w:rFonts w:ascii="Arial" w:cs="Arial" w:eastAsia="Arial" w:hAnsi="Arial"/>
          <w:color w:val="374151"/>
          <w:sz w:val="22"/>
          <w:szCs w:val="22"/>
        </w:rPr>
        <w:t xml:space="preserve">Nombre completo, RUT, fecha de nacimiento</w:t>
      </w:r>
    </w:p>
    <w:p>
      <w:pPr>
        <w:pStyle w:val="ListParagraph"/>
        <w:numPr>
          <w:ilvl w:val="0"/>
          <w:numId w:val="2"/>
        </w:numPr>
        <w:spacing w:after="60" w:before="60"/>
      </w:pPr>
      <w:r>
        <w:rPr>
          <w:rFonts w:ascii="Arial" w:cs="Arial" w:eastAsia="Arial" w:hAnsi="Arial"/>
          <w:color w:val="374151"/>
          <w:sz w:val="22"/>
          <w:szCs w:val="22"/>
        </w:rPr>
        <w:t xml:space="preserve">Número de teléfono, correo electrónico</w:t>
      </w:r>
    </w:p>
    <w:p>
      <w:pPr>
        <w:pStyle w:val="ListParagraph"/>
        <w:numPr>
          <w:ilvl w:val="0"/>
          <w:numId w:val="2"/>
        </w:numPr>
        <w:spacing w:after="60" w:before="60"/>
      </w:pPr>
      <w:r>
        <w:rPr>
          <w:rFonts w:ascii="Arial" w:cs="Arial" w:eastAsia="Arial" w:hAnsi="Arial"/>
          <w:color w:val="374151"/>
          <w:sz w:val="22"/>
          <w:szCs w:val="22"/>
        </w:rPr>
        <w:t xml:space="preserve">Dirección de domicilio</w:t>
      </w:r>
    </w:p>
    <w:p>
      <w:pPr>
        <w:pStyle w:val="Heading2"/>
        <w:spacing w:after="80" w:before="240"/>
      </w:pPr>
      <w:r>
        <w:rPr>
          <w:rFonts w:ascii="Arial" w:cs="Arial" w:eastAsia="Arial" w:hAnsi="Arial"/>
          <w:b/>
          <w:bCs/>
          <w:color w:val="374151"/>
          <w:sz w:val="22"/>
          <w:szCs w:val="22"/>
        </w:rPr>
        <w:t xml:space="preserve">2.2 Datos de salud (datos sensibles)</w:t>
      </w:r>
    </w:p>
    <w:p>
      <w:pPr>
        <w:pStyle w:val="ListParagraph"/>
        <w:numPr>
          <w:ilvl w:val="0"/>
          <w:numId w:val="2"/>
        </w:numPr>
        <w:spacing w:after="60" w:before="60"/>
      </w:pPr>
      <w:r>
        <w:rPr>
          <w:rFonts w:ascii="Arial" w:cs="Arial" w:eastAsia="Arial" w:hAnsi="Arial"/>
          <w:color w:val="374151"/>
          <w:sz w:val="22"/>
          <w:szCs w:val="22"/>
        </w:rPr>
        <w:t xml:space="preserve">Historial de atenciones médicas, resultados de exámenes e informes clínicos</w:t>
      </w:r>
    </w:p>
    <w:p>
      <w:pPr>
        <w:pStyle w:val="ListParagraph"/>
        <w:numPr>
          <w:ilvl w:val="0"/>
          <w:numId w:val="2"/>
        </w:numPr>
        <w:spacing w:after="60" w:before="60"/>
      </w:pPr>
      <w:r>
        <w:rPr>
          <w:rFonts w:ascii="Arial" w:cs="Arial" w:eastAsia="Arial" w:hAnsi="Arial"/>
          <w:color w:val="374151"/>
          <w:sz w:val="22"/>
          <w:szCs w:val="22"/>
        </w:rPr>
        <w:t xml:space="preserve">Diagnósticos, indicaciones médicas y recetas</w:t>
      </w:r>
    </w:p>
    <w:p>
      <w:pPr>
        <w:pStyle w:val="ListParagraph"/>
        <w:numPr>
          <w:ilvl w:val="0"/>
          <w:numId w:val="2"/>
        </w:numPr>
        <w:spacing w:after="60" w:before="60"/>
      </w:pPr>
      <w:r>
        <w:rPr>
          <w:rFonts w:ascii="Arial" w:cs="Arial" w:eastAsia="Arial" w:hAnsi="Arial"/>
          <w:color w:val="374151"/>
          <w:sz w:val="22"/>
          <w:szCs w:val="22"/>
        </w:rPr>
        <w:t xml:space="preserve">Alergias, antecedentes de salud y medicamentos</w:t>
      </w:r>
    </w:p>
    <w:p>
      <w:pPr>
        <w:pStyle w:val="ListParagraph"/>
        <w:numPr>
          <w:ilvl w:val="0"/>
          <w:numId w:val="2"/>
        </w:numPr>
        <w:spacing w:after="60" w:before="60"/>
      </w:pPr>
      <w:r>
        <w:rPr>
          <w:rFonts w:ascii="Arial" w:cs="Arial" w:eastAsia="Arial" w:hAnsi="Arial"/>
          <w:color w:val="374151"/>
          <w:sz w:val="22"/>
          <w:szCs w:val="22"/>
        </w:rPr>
        <w:t xml:space="preserve">Registro de citas agendadas, realizadas y canceladas</w:t>
      </w:r>
    </w:p>
    <w:p>
      <w:pPr>
        <w:pStyle w:val="ListParagraph"/>
        <w:numPr>
          <w:ilvl w:val="0"/>
          <w:numId w:val="2"/>
        </w:numPr>
        <w:spacing w:after="60" w:before="60"/>
      </w:pPr>
      <w:r>
        <w:rPr>
          <w:rFonts w:ascii="Arial" w:cs="Arial" w:eastAsia="Arial" w:hAnsi="Arial"/>
          <w:color w:val="374151"/>
          <w:sz w:val="22"/>
          <w:szCs w:val="22"/>
        </w:rPr>
        <w:t xml:space="preserve">Mensajes intercambiados con el Centro a través del Portal</w:t>
      </w:r>
    </w:p>
    <w:p>
      <w:pPr>
        <w:pStyle w:val="Heading2"/>
        <w:spacing w:after="80" w:before="240"/>
      </w:pPr>
      <w:r>
        <w:rPr>
          <w:rFonts w:ascii="Arial" w:cs="Arial" w:eastAsia="Arial" w:hAnsi="Arial"/>
          <w:b/>
          <w:bCs/>
          <w:color w:val="374151"/>
          <w:sz w:val="22"/>
          <w:szCs w:val="22"/>
        </w:rPr>
        <w:t xml:space="preserve">2.3 Datos técnicos y de navegación</w:t>
      </w:r>
    </w:p>
    <w:p>
      <w:pPr>
        <w:pStyle w:val="ListParagraph"/>
        <w:numPr>
          <w:ilvl w:val="0"/>
          <w:numId w:val="2"/>
        </w:numPr>
        <w:spacing w:after="60" w:before="60"/>
      </w:pPr>
      <w:r>
        <w:rPr>
          <w:rFonts w:ascii="Arial" w:cs="Arial" w:eastAsia="Arial" w:hAnsi="Arial"/>
          <w:color w:val="374151"/>
          <w:sz w:val="22"/>
          <w:szCs w:val="22"/>
        </w:rPr>
        <w:t xml:space="preserve">Dirección IP y tipo de dispositivo utilizado para acceder al Portal</w:t>
      </w:r>
    </w:p>
    <w:p>
      <w:pPr>
        <w:pStyle w:val="ListParagraph"/>
        <w:numPr>
          <w:ilvl w:val="0"/>
          <w:numId w:val="2"/>
        </w:numPr>
        <w:spacing w:after="60" w:before="60"/>
      </w:pPr>
      <w:r>
        <w:rPr>
          <w:rFonts w:ascii="Arial" w:cs="Arial" w:eastAsia="Arial" w:hAnsi="Arial"/>
          <w:color w:val="374151"/>
          <w:sz w:val="22"/>
          <w:szCs w:val="22"/>
        </w:rPr>
        <w:t xml:space="preserve">Registros de acceso (log de autenticación y actividad en la sesión)</w:t>
      </w:r>
    </w:p>
    <w:p>
      <w:pPr>
        <w:pStyle w:val="ListParagraph"/>
        <w:numPr>
          <w:ilvl w:val="0"/>
          <w:numId w:val="2"/>
        </w:numPr>
        <w:spacing w:after="60" w:before="60"/>
      </w:pPr>
      <w:r>
        <w:rPr>
          <w:rFonts w:ascii="Arial" w:cs="Arial" w:eastAsia="Arial" w:hAnsi="Arial"/>
          <w:color w:val="374151"/>
          <w:sz w:val="22"/>
          <w:szCs w:val="22"/>
        </w:rPr>
        <w:t xml:space="preserve">Preferencias de notificación configuradas por el paciente</w:t>
      </w:r>
    </w:p>
    <w:p>
      <w:pPr>
        <w:spacing w:after="120" w:before="80" w:line="276"/>
        <w:jc w:val="both"/>
      </w:pPr>
      <w:r>
        <w:rPr>
          <w:rFonts w:ascii="Arial" w:cs="Arial" w:eastAsia="Arial" w:hAnsi="Arial"/>
          <w:b w:val="false"/>
          <w:bCs w:val="false"/>
          <w:color w:val="374151"/>
          <w:sz w:val="22"/>
          <w:szCs w:val="22"/>
        </w:rPr>
        <w:t xml:space="preserve">Los datos de salud son datos sensibles según el artículo 2° letra g) de la Ley N° 19.628. Su tratamiento requiere su consentimiento expreso, el que se recaba mediante el Formulario de Consentimiento Informado disponible en el Portal.</w:t>
      </w:r>
    </w:p>
    <w:p>
      <w:pPr>
        <w:pBdr>
          <w:bottom w:val="single" w:color="0E7490" w:sz="4" w:space="1"/>
        </w:pBdr>
        <w:spacing w:after="120" w:before="120"/>
      </w:pPr>
      <w:r>
        <w:t xml:space="preserve"/>
      </w:r>
    </w:p>
    <w:p>
      <w:pPr>
        <w:pStyle w:val="Heading1"/>
        <w:spacing w:after="120" w:before="360"/>
      </w:pPr>
      <w:r>
        <w:rPr>
          <w:rFonts w:ascii="Arial" w:cs="Arial" w:eastAsia="Arial" w:hAnsi="Arial"/>
          <w:b/>
          <w:bCs/>
          <w:color w:val="0E7490"/>
          <w:sz w:val="28"/>
          <w:szCs w:val="28"/>
        </w:rPr>
        <w:t xml:space="preserve">3. Finalidades del tratamiento</w:t>
      </w:r>
    </w:p>
    <w:p>
      <w:pPr>
        <w:spacing w:after="120" w:before="80" w:line="276"/>
        <w:jc w:val="both"/>
      </w:pPr>
      <w:r>
        <w:rPr>
          <w:rFonts w:ascii="Arial" w:cs="Arial" w:eastAsia="Arial" w:hAnsi="Arial"/>
          <w:b w:val="false"/>
          <w:bCs w:val="false"/>
          <w:color w:val="374151"/>
          <w:sz w:val="22"/>
          <w:szCs w:val="22"/>
        </w:rPr>
        <w:t xml:space="preserve">Sus datos personales son tratados exclusivamente para las siguientes finalidades: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E5E7EB" w:sz="1"/>
              <w:left w:val="single" w:color="E5E7EB" w:sz="1"/>
              <w:bottom w:val="single" w:color="E5E7EB" w:sz="1"/>
              <w:right w:val="single" w:color="E5E7EB" w:sz="1"/>
            </w:tcBorders>
            <w:shd w:fill="CFFAFE" w:val="clear"/>
            <w:tcMar>
              <w:top w:type="dxa" w:w="80"/>
              <w:left w:type="dxa" w:w="120"/>
              <w:bottom w:type="dxa" w:w="80"/>
              <w:right w:type="dxa" w:w="120"/>
            </w:tcMar>
          </w:tcPr>
          <w:p>
            <w:r>
              <w:rPr>
                <w:rFonts w:ascii="Arial" w:cs="Arial" w:eastAsia="Arial" w:hAnsi="Arial"/>
                <w:b/>
                <w:bCs/>
                <w:sz w:val="20"/>
                <w:szCs w:val="20"/>
              </w:rPr>
              <w:t xml:space="preserve">Finalidad</w:t>
            </w:r>
          </w:p>
        </w:tc>
        <w:tc>
          <w:tcPr>
            <w:tcW w:type="dxa" w:w="5826"/>
            <w:tcBorders>
              <w:top w:val="single" w:color="E5E7EB" w:sz="1"/>
              <w:left w:val="single" w:color="E5E7EB" w:sz="1"/>
              <w:bottom w:val="single" w:color="E5E7EB" w:sz="1"/>
              <w:right w:val="single" w:color="E5E7EB" w:sz="1"/>
            </w:tcBorders>
            <w:shd w:fill="CFFAFE" w:val="clear"/>
            <w:tcMar>
              <w:top w:type="dxa" w:w="80"/>
              <w:left w:type="dxa" w:w="120"/>
              <w:bottom w:type="dxa" w:w="80"/>
              <w:right w:type="dxa" w:w="120"/>
            </w:tcMar>
          </w:tcPr>
          <w:p>
            <w:r>
              <w:rPr>
                <w:rFonts w:ascii="Arial" w:cs="Arial" w:eastAsia="Arial" w:hAnsi="Arial"/>
                <w:b/>
                <w:bCs/>
                <w:sz w:val="20"/>
                <w:szCs w:val="20"/>
              </w:rPr>
              <w:t xml:space="preserve">Base jurídica</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Acceso y visualización de ficha clínica electrónica</w:t>
            </w:r>
          </w:p>
        </w:tc>
        <w:tc>
          <w:tcPr>
            <w:tcW w:type="dxa" w:w="58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Consentimiento expreso del paciente — Art. 12 Ley 20.584</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Gestión de citas (agendamiento, confirmación, cancelación)</w:t>
            </w:r>
          </w:p>
        </w:tc>
        <w:tc>
          <w:tcPr>
            <w:tcW w:type="dxa" w:w="58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Ejecución de la relación contractual con el Centro</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Entrega de resultados de exámenes e informes médicos</w:t>
            </w:r>
          </w:p>
        </w:tc>
        <w:tc>
          <w:tcPr>
            <w:tcW w:type="dxa" w:w="58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Consentimiento expreso del paciente — Art. 12 Ley 20.584</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Comunicación por mensajería interna del Portal</w:t>
            </w:r>
          </w:p>
        </w:tc>
        <w:tc>
          <w:tcPr>
            <w:tcW w:type="dxa" w:w="58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Consentimiento expreso del paciente</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Envío de notificaciones de citas y resultados</w:t>
            </w:r>
          </w:p>
        </w:tc>
        <w:tc>
          <w:tcPr>
            <w:tcW w:type="dxa" w:w="58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Consentimiento expreso del paciente (configurable)</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Facturación y gestión administrativa de la atención</w:t>
            </w:r>
          </w:p>
        </w:tc>
        <w:tc>
          <w:tcPr>
            <w:tcW w:type="dxa" w:w="58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Obligación legal — D.L. 825, D.F.L. 1 MINSAL</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Seguridad e integridad del Portal (logs de acceso)</w:t>
            </w:r>
          </w:p>
        </w:tc>
        <w:tc>
          <w:tcPr>
            <w:tcW w:type="dxa" w:w="58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Interés legítimo del Centro — Ley 20.584 Art. 12</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Cumplimiento de obligaciones legales y regulatorias</w:t>
            </w:r>
          </w:p>
        </w:tc>
        <w:tc>
          <w:tcPr>
            <w:tcW w:type="dxa" w:w="58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Obligación legal — Ley 19.628, Ley 20.584, MINSAL</w:t>
            </w:r>
          </w:p>
        </w:tc>
      </w:tr>
    </w:tbl>
    <w:p>
      <w:pPr>
        <w:pBdr>
          <w:bottom w:val="single" w:color="0E7490" w:sz="4" w:space="1"/>
        </w:pBdr>
        <w:spacing w:after="120" w:before="120"/>
      </w:pPr>
      <w:r>
        <w:t xml:space="preserve"/>
      </w:r>
    </w:p>
    <w:p>
      <w:pPr>
        <w:pStyle w:val="Heading1"/>
        <w:spacing w:after="120" w:before="360"/>
      </w:pPr>
      <w:r>
        <w:rPr>
          <w:rFonts w:ascii="Arial" w:cs="Arial" w:eastAsia="Arial" w:hAnsi="Arial"/>
          <w:b/>
          <w:bCs/>
          <w:color w:val="0E7490"/>
          <w:sz w:val="28"/>
          <w:szCs w:val="28"/>
        </w:rPr>
        <w:t xml:space="preserve">4. Comunicación de datos a terceros</w:t>
      </w:r>
    </w:p>
    <w:p>
      <w:pPr>
        <w:spacing w:after="120" w:before="80" w:line="276"/>
        <w:jc w:val="both"/>
      </w:pPr>
      <w:r>
        <w:rPr>
          <w:rFonts w:ascii="Arial" w:cs="Arial" w:eastAsia="Arial" w:hAnsi="Arial"/>
          <w:b w:val="false"/>
          <w:bCs w:val="false"/>
          <w:color w:val="374151"/>
          <w:sz w:val="22"/>
          <w:szCs w:val="22"/>
        </w:rPr>
        <w:t xml:space="preserve">ViñaMed no vende ni cede sus datos personales a terceros con fines comerciales. La comunicación de datos a terceros se realiza únicamente en los siguientes casos:</w:t>
      </w:r>
    </w:p>
    <w:p>
      <w:pPr>
        <w:pStyle w:val="ListParagraph"/>
        <w:numPr>
          <w:ilvl w:val="0"/>
          <w:numId w:val="2"/>
        </w:numPr>
        <w:spacing w:after="60" w:before="60"/>
      </w:pPr>
      <w:r>
        <w:rPr>
          <w:rFonts w:ascii="Arial" w:cs="Arial" w:eastAsia="Arial" w:hAnsi="Arial"/>
          <w:color w:val="374151"/>
          <w:sz w:val="22"/>
          <w:szCs w:val="22"/>
        </w:rPr>
        <w:t xml:space="preserve">Proveedores de servicios tecnológicos que actúan como encargados del tratamiento (alojamiento en la nube, infraestructura de Firebase de Google LLC), quienes están vinculados contractualmente a respetar la confidencialidad y seguridad de los datos.</w:t>
      </w:r>
    </w:p>
    <w:p>
      <w:pPr>
        <w:pStyle w:val="ListParagraph"/>
        <w:numPr>
          <w:ilvl w:val="0"/>
          <w:numId w:val="2"/>
        </w:numPr>
        <w:spacing w:after="60" w:before="60"/>
      </w:pPr>
      <w:r>
        <w:rPr>
          <w:rFonts w:ascii="Arial" w:cs="Arial" w:eastAsia="Arial" w:hAnsi="Arial"/>
          <w:color w:val="374151"/>
          <w:sz w:val="22"/>
          <w:szCs w:val="22"/>
        </w:rPr>
        <w:t xml:space="preserve">Organismos públicos de salud (MINSAL, Superintendencia de Salud) cuando sea exigido por obligación legal.</w:t>
      </w:r>
    </w:p>
    <w:p>
      <w:pPr>
        <w:pStyle w:val="ListParagraph"/>
        <w:numPr>
          <w:ilvl w:val="0"/>
          <w:numId w:val="2"/>
        </w:numPr>
        <w:spacing w:after="60" w:before="60"/>
      </w:pPr>
      <w:r>
        <w:rPr>
          <w:rFonts w:ascii="Arial" w:cs="Arial" w:eastAsia="Arial" w:hAnsi="Arial"/>
          <w:color w:val="374151"/>
          <w:sz w:val="22"/>
          <w:szCs w:val="22"/>
        </w:rPr>
        <w:t xml:space="preserve">Otro prestador de salud, única y exclusivamente con su consentimiento previo y expreso, o cuando sea necesario para la continuidad de su atención médica en situaciones de urgencia.</w:t>
      </w:r>
    </w:p>
    <w:p>
      <w:pPr>
        <w:pStyle w:val="ListParagraph"/>
        <w:numPr>
          <w:ilvl w:val="0"/>
          <w:numId w:val="2"/>
        </w:numPr>
        <w:spacing w:after="60" w:before="60"/>
      </w:pPr>
      <w:r>
        <w:rPr>
          <w:rFonts w:ascii="Arial" w:cs="Arial" w:eastAsia="Arial" w:hAnsi="Arial"/>
          <w:color w:val="374151"/>
          <w:sz w:val="22"/>
          <w:szCs w:val="22"/>
        </w:rPr>
        <w:t xml:space="preserve">Compañías de seguro o Isapres, solo con su autorización expresa para fines de coberturas y reembolsos.</w:t>
      </w:r>
    </w:p>
    <w:p>
      <w:pPr>
        <w:spacing w:after="120" w:before="80" w:line="276"/>
        <w:jc w:val="both"/>
      </w:pPr>
      <w:r>
        <w:rPr>
          <w:rFonts w:ascii="Arial" w:cs="Arial" w:eastAsia="Arial" w:hAnsi="Arial"/>
          <w:b w:val="false"/>
          <w:bCs w:val="false"/>
          <w:color w:val="374151"/>
          <w:sz w:val="22"/>
          <w:szCs w:val="22"/>
        </w:rPr>
        <w:t xml:space="preserve">Google LLC, como proveedor de Firebase, puede tratar datos fuera de Chile bajo el Escudo de Privacidad UE-EE.UU. o cláusulas contractuales estándar. Para más información: https://firebase.google.com/support/privacy</w:t>
      </w:r>
    </w:p>
    <w:p>
      <w:pPr>
        <w:pBdr>
          <w:bottom w:val="single" w:color="0E7490" w:sz="4" w:space="1"/>
        </w:pBdr>
        <w:spacing w:after="120" w:before="120"/>
      </w:pPr>
      <w:r>
        <w:t xml:space="preserve"/>
      </w:r>
    </w:p>
    <w:p>
      <w:pPr>
        <w:pStyle w:val="Heading1"/>
        <w:spacing w:after="120" w:before="360"/>
      </w:pPr>
      <w:r>
        <w:rPr>
          <w:rFonts w:ascii="Arial" w:cs="Arial" w:eastAsia="Arial" w:hAnsi="Arial"/>
          <w:b/>
          <w:bCs/>
          <w:color w:val="0E7490"/>
          <w:sz w:val="28"/>
          <w:szCs w:val="28"/>
        </w:rPr>
        <w:t xml:space="preserve">5. Seguridad de los datos</w:t>
      </w:r>
    </w:p>
    <w:p>
      <w:pPr>
        <w:spacing w:after="120" w:before="80" w:line="276"/>
        <w:jc w:val="both"/>
      </w:pPr>
      <w:r>
        <w:rPr>
          <w:rFonts w:ascii="Arial" w:cs="Arial" w:eastAsia="Arial" w:hAnsi="Arial"/>
          <w:b w:val="false"/>
          <w:bCs w:val="false"/>
          <w:color w:val="374151"/>
          <w:sz w:val="22"/>
          <w:szCs w:val="22"/>
        </w:rPr>
        <w:t xml:space="preserve">El Centro adopta medidas técnicas y organizativas adecuadas para proteger sus datos personales contra accesos no autorizados, pérdida, destrucción o alteración:</w:t>
      </w:r>
    </w:p>
    <w:p>
      <w:pPr>
        <w:pStyle w:val="ListParagraph"/>
        <w:numPr>
          <w:ilvl w:val="0"/>
          <w:numId w:val="2"/>
        </w:numPr>
        <w:spacing w:after="60" w:before="60"/>
      </w:pPr>
      <w:r>
        <w:rPr>
          <w:rFonts w:ascii="Arial" w:cs="Arial" w:eastAsia="Arial" w:hAnsi="Arial"/>
          <w:color w:val="374151"/>
          <w:sz w:val="22"/>
          <w:szCs w:val="22"/>
        </w:rPr>
        <w:t xml:space="preserve">Cifrado de datos en tránsito mediante protocolo TLS 1.2 o superior</w:t>
      </w:r>
    </w:p>
    <w:p>
      <w:pPr>
        <w:pStyle w:val="ListParagraph"/>
        <w:numPr>
          <w:ilvl w:val="0"/>
          <w:numId w:val="2"/>
        </w:numPr>
        <w:spacing w:after="60" w:before="60"/>
      </w:pPr>
      <w:r>
        <w:rPr>
          <w:rFonts w:ascii="Arial" w:cs="Arial" w:eastAsia="Arial" w:hAnsi="Arial"/>
          <w:color w:val="374151"/>
          <w:sz w:val="22"/>
          <w:szCs w:val="22"/>
        </w:rPr>
        <w:t xml:space="preserve">Autenticación de usuarios con código de acceso y mecanismos de bloqueo por intentos fallidos</w:t>
      </w:r>
    </w:p>
    <w:p>
      <w:pPr>
        <w:pStyle w:val="ListParagraph"/>
        <w:numPr>
          <w:ilvl w:val="0"/>
          <w:numId w:val="2"/>
        </w:numPr>
        <w:spacing w:after="60" w:before="60"/>
      </w:pPr>
      <w:r>
        <w:rPr>
          <w:rFonts w:ascii="Arial" w:cs="Arial" w:eastAsia="Arial" w:hAnsi="Arial"/>
          <w:color w:val="374151"/>
          <w:sz w:val="22"/>
          <w:szCs w:val="22"/>
        </w:rPr>
        <w:t xml:space="preserve">Registro de auditoría de accesos a datos clínicos (logs de sesión)</w:t>
      </w:r>
    </w:p>
    <w:p>
      <w:pPr>
        <w:pStyle w:val="ListParagraph"/>
        <w:numPr>
          <w:ilvl w:val="0"/>
          <w:numId w:val="2"/>
        </w:numPr>
        <w:spacing w:after="60" w:before="60"/>
      </w:pPr>
      <w:r>
        <w:rPr>
          <w:rFonts w:ascii="Arial" w:cs="Arial" w:eastAsia="Arial" w:hAnsi="Arial"/>
          <w:color w:val="374151"/>
          <w:sz w:val="22"/>
          <w:szCs w:val="22"/>
        </w:rPr>
        <w:t xml:space="preserve">Acceso restringido al personal del Centro con necesidad legítima</w:t>
      </w:r>
    </w:p>
    <w:p>
      <w:pPr>
        <w:pStyle w:val="ListParagraph"/>
        <w:numPr>
          <w:ilvl w:val="0"/>
          <w:numId w:val="2"/>
        </w:numPr>
        <w:spacing w:after="60" w:before="60"/>
      </w:pPr>
      <w:r>
        <w:rPr>
          <w:rFonts w:ascii="Arial" w:cs="Arial" w:eastAsia="Arial" w:hAnsi="Arial"/>
          <w:color w:val="374151"/>
          <w:sz w:val="22"/>
          <w:szCs w:val="22"/>
        </w:rPr>
        <w:t xml:space="preserve">Copias de seguridad periódicas de la base de datos clínica</w:t>
      </w:r>
    </w:p>
    <w:p>
      <w:pPr>
        <w:pStyle w:val="ListParagraph"/>
        <w:numPr>
          <w:ilvl w:val="0"/>
          <w:numId w:val="2"/>
        </w:numPr>
        <w:spacing w:after="60" w:before="60"/>
      </w:pPr>
      <w:r>
        <w:rPr>
          <w:rFonts w:ascii="Arial" w:cs="Arial" w:eastAsia="Arial" w:hAnsi="Arial"/>
          <w:color w:val="374151"/>
          <w:sz w:val="22"/>
          <w:szCs w:val="22"/>
        </w:rPr>
        <w:t xml:space="preserve">Revisión periódica de las medidas de seguridad implementadas</w:t>
      </w:r>
    </w:p>
    <w:p>
      <w:pPr>
        <w:spacing w:after="120" w:before="80" w:line="276"/>
        <w:jc w:val="both"/>
      </w:pPr>
      <w:r>
        <w:rPr>
          <w:rFonts w:ascii="Arial" w:cs="Arial" w:eastAsia="Arial" w:hAnsi="Arial"/>
          <w:b w:val="false"/>
          <w:bCs w:val="false"/>
          <w:color w:val="374151"/>
          <w:sz w:val="22"/>
          <w:szCs w:val="22"/>
        </w:rPr>
        <w:t xml:space="preserve">En caso de una brecha de seguridad que afecte a sus datos de salud, el Centro le notificará en el menor tiempo posible, conforme a lo dispuesto en la normativa vigente.</w:t>
      </w:r>
    </w:p>
    <w:p>
      <w:pPr>
        <w:pBdr>
          <w:bottom w:val="single" w:color="0E7490" w:sz="4" w:space="1"/>
        </w:pBdr>
        <w:spacing w:after="120" w:before="120"/>
      </w:pPr>
      <w:r>
        <w:t xml:space="preserve"/>
      </w:r>
    </w:p>
    <w:p>
      <w:pPr>
        <w:pStyle w:val="Heading1"/>
        <w:spacing w:after="120" w:before="360"/>
      </w:pPr>
      <w:r>
        <w:rPr>
          <w:rFonts w:ascii="Arial" w:cs="Arial" w:eastAsia="Arial" w:hAnsi="Arial"/>
          <w:b/>
          <w:bCs/>
          <w:color w:val="0E7490"/>
          <w:sz w:val="28"/>
          <w:szCs w:val="28"/>
        </w:rPr>
        <w:t xml:space="preserve">6. Conservación de los datos</w:t>
      </w:r>
    </w:p>
    <w:p>
      <w:pPr>
        <w:spacing w:after="120" w:before="80" w:line="276"/>
        <w:jc w:val="both"/>
      </w:pPr>
      <w:r>
        <w:rPr>
          <w:rFonts w:ascii="Arial" w:cs="Arial" w:eastAsia="Arial" w:hAnsi="Arial"/>
          <w:b w:val="false"/>
          <w:bCs w:val="false"/>
          <w:color w:val="374151"/>
          <w:sz w:val="22"/>
          <w:szCs w:val="22"/>
        </w:rPr>
        <w:t xml:space="preserve">Sus datos se conservarán durante los siguientes plazos: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E5E7EB" w:sz="1"/>
              <w:left w:val="single" w:color="E5E7EB" w:sz="1"/>
              <w:bottom w:val="single" w:color="E5E7EB" w:sz="1"/>
              <w:right w:val="single" w:color="E5E7EB" w:sz="1"/>
            </w:tcBorders>
            <w:shd w:fill="CFFAFE" w:val="clear"/>
            <w:tcMar>
              <w:top w:type="dxa" w:w="80"/>
              <w:left w:type="dxa" w:w="120"/>
              <w:bottom w:type="dxa" w:w="80"/>
              <w:right w:type="dxa" w:w="120"/>
            </w:tcMar>
          </w:tcPr>
          <w:p>
            <w:r>
              <w:rPr>
                <w:rFonts w:ascii="Arial" w:cs="Arial" w:eastAsia="Arial" w:hAnsi="Arial"/>
                <w:b/>
                <w:bCs/>
                <w:sz w:val="20"/>
                <w:szCs w:val="20"/>
              </w:rPr>
              <w:t xml:space="preserve">Categoría de dato</w:t>
            </w:r>
          </w:p>
        </w:tc>
        <w:tc>
          <w:tcPr>
            <w:tcW w:type="dxa" w:w="5026"/>
            <w:tcBorders>
              <w:top w:val="single" w:color="E5E7EB" w:sz="1"/>
              <w:left w:val="single" w:color="E5E7EB" w:sz="1"/>
              <w:bottom w:val="single" w:color="E5E7EB" w:sz="1"/>
              <w:right w:val="single" w:color="E5E7EB" w:sz="1"/>
            </w:tcBorders>
            <w:shd w:fill="CFFAFE" w:val="clear"/>
            <w:tcMar>
              <w:top w:type="dxa" w:w="80"/>
              <w:left w:type="dxa" w:w="120"/>
              <w:bottom w:type="dxa" w:w="80"/>
              <w:right w:type="dxa" w:w="120"/>
            </w:tcMar>
          </w:tcPr>
          <w:p>
            <w:r>
              <w:rPr>
                <w:rFonts w:ascii="Arial" w:cs="Arial" w:eastAsia="Arial" w:hAnsi="Arial"/>
                <w:b/>
                <w:bCs/>
                <w:sz w:val="20"/>
                <w:szCs w:val="20"/>
              </w:rPr>
              <w:t xml:space="preserve">Plazo de conservación</w:t>
            </w:r>
          </w:p>
        </w:tc>
      </w:tr>
      <w:tr>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Ficha clínica (historia clínica)</w:t>
            </w:r>
          </w:p>
        </w:tc>
        <w:tc>
          <w:tcPr>
            <w:tcW w:type="dxa" w:w="50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15 años desde la última atención — D.S. 41/2012 MINSAL</w:t>
            </w:r>
          </w:p>
        </w:tc>
      </w:tr>
      <w:tr>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Resultados de exámenes e imágenes</w:t>
            </w:r>
          </w:p>
        </w:tc>
        <w:tc>
          <w:tcPr>
            <w:tcW w:type="dxa" w:w="50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5 años mínimo o según indicación clínica</w:t>
            </w:r>
          </w:p>
        </w:tc>
      </w:tr>
      <w:tr>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Registros de citas y atenciones</w:t>
            </w:r>
          </w:p>
        </w:tc>
        <w:tc>
          <w:tcPr>
            <w:tcW w:type="dxa" w:w="50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5 años desde la última atención</w:t>
            </w:r>
          </w:p>
        </w:tc>
      </w:tr>
      <w:tr>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Logs de acceso y seguridad</w:t>
            </w:r>
          </w:p>
        </w:tc>
        <w:tc>
          <w:tcPr>
            <w:tcW w:type="dxa" w:w="50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1 año, conforme a buenas prácticas de seguridad</w:t>
            </w:r>
          </w:p>
        </w:tc>
      </w:tr>
      <w:tr>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Datos de contacto y preferencias</w:t>
            </w:r>
          </w:p>
        </w:tc>
        <w:tc>
          <w:tcPr>
            <w:tcW w:type="dxa" w:w="50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Mientras mantenga relación con el Centro</w:t>
            </w:r>
          </w:p>
        </w:tc>
      </w:tr>
      <w:tr>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Datos de facturación</w:t>
            </w:r>
          </w:p>
        </w:tc>
        <w:tc>
          <w:tcPr>
            <w:tcW w:type="dxa" w:w="50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6 años tributarios — Código Tributario art. 200</w:t>
            </w:r>
          </w:p>
        </w:tc>
      </w:tr>
    </w:tbl>
    <w:p>
      <w:pPr>
        <w:pBdr>
          <w:bottom w:val="single" w:color="0E7490" w:sz="4" w:space="1"/>
        </w:pBdr>
        <w:spacing w:after="120" w:before="120"/>
      </w:pPr>
      <w:r>
        <w:t xml:space="preserve"/>
      </w:r>
    </w:p>
    <w:p>
      <w:pPr>
        <w:pStyle w:val="Heading1"/>
        <w:spacing w:after="120" w:before="360"/>
      </w:pPr>
      <w:r>
        <w:rPr>
          <w:rFonts w:ascii="Arial" w:cs="Arial" w:eastAsia="Arial" w:hAnsi="Arial"/>
          <w:b/>
          <w:bCs/>
          <w:color w:val="0E7490"/>
          <w:sz w:val="28"/>
          <w:szCs w:val="28"/>
        </w:rPr>
        <w:t xml:space="preserve">7. Sus derechos (Derechos ARCO y otros)</w:t>
      </w:r>
    </w:p>
    <w:p>
      <w:pPr>
        <w:spacing w:after="120" w:before="80" w:line="276"/>
        <w:jc w:val="both"/>
      </w:pPr>
      <w:r>
        <w:rPr>
          <w:rFonts w:ascii="Arial" w:cs="Arial" w:eastAsia="Arial" w:hAnsi="Arial"/>
          <w:b w:val="false"/>
          <w:bCs w:val="false"/>
          <w:color w:val="374151"/>
          <w:sz w:val="22"/>
          <w:szCs w:val="22"/>
        </w:rPr>
        <w:t xml:space="preserve">Como titular de datos, usted tiene los siguientes derechos reconocidos por la Ley N° 19.628 y la Ley N° 20.584:</w:t>
      </w:r>
    </w:p>
    <w:p>
      <w:pPr>
        <w:pStyle w:val="Heading2"/>
        <w:spacing w:after="80" w:before="240"/>
      </w:pPr>
      <w:r>
        <w:rPr>
          <w:rFonts w:ascii="Arial" w:cs="Arial" w:eastAsia="Arial" w:hAnsi="Arial"/>
          <w:b/>
          <w:bCs/>
          <w:color w:val="374151"/>
          <w:sz w:val="22"/>
          <w:szCs w:val="22"/>
        </w:rPr>
        <w:t xml:space="preserve">7.1 Derecho de Acceso</w:t>
      </w:r>
    </w:p>
    <w:p>
      <w:pPr>
        <w:spacing w:after="120" w:before="80" w:line="276"/>
        <w:jc w:val="both"/>
      </w:pPr>
      <w:r>
        <w:rPr>
          <w:rFonts w:ascii="Arial" w:cs="Arial" w:eastAsia="Arial" w:hAnsi="Arial"/>
          <w:b w:val="false"/>
          <w:bCs w:val="false"/>
          <w:color w:val="374151"/>
          <w:sz w:val="22"/>
          <w:szCs w:val="22"/>
        </w:rPr>
        <w:t xml:space="preserve">Puede solicitar información sobre qué datos personales suyos tratamos, con qué finalidad, por cuánto tiempo y a quiénes se han comunicado.</w:t>
      </w:r>
    </w:p>
    <w:p>
      <w:pPr>
        <w:pStyle w:val="Heading2"/>
        <w:spacing w:after="80" w:before="240"/>
      </w:pPr>
      <w:r>
        <w:rPr>
          <w:rFonts w:ascii="Arial" w:cs="Arial" w:eastAsia="Arial" w:hAnsi="Arial"/>
          <w:b/>
          <w:bCs/>
          <w:color w:val="374151"/>
          <w:sz w:val="22"/>
          <w:szCs w:val="22"/>
        </w:rPr>
        <w:t xml:space="preserve">7.2 Derecho de Rectificación</w:t>
      </w:r>
    </w:p>
    <w:p>
      <w:pPr>
        <w:spacing w:after="120" w:before="80" w:line="276"/>
        <w:jc w:val="both"/>
      </w:pPr>
      <w:r>
        <w:rPr>
          <w:rFonts w:ascii="Arial" w:cs="Arial" w:eastAsia="Arial" w:hAnsi="Arial"/>
          <w:b w:val="false"/>
          <w:bCs w:val="false"/>
          <w:color w:val="374151"/>
          <w:sz w:val="22"/>
          <w:szCs w:val="22"/>
        </w:rPr>
        <w:t xml:space="preserve">Puede solicitar la corrección de datos incorrectos, inexactos o incompletos.</w:t>
      </w:r>
    </w:p>
    <w:p>
      <w:pPr>
        <w:pStyle w:val="Heading2"/>
        <w:spacing w:after="80" w:before="240"/>
      </w:pPr>
      <w:r>
        <w:rPr>
          <w:rFonts w:ascii="Arial" w:cs="Arial" w:eastAsia="Arial" w:hAnsi="Arial"/>
          <w:b/>
          <w:bCs/>
          <w:color w:val="374151"/>
          <w:sz w:val="22"/>
          <w:szCs w:val="22"/>
        </w:rPr>
        <w:t xml:space="preserve">7.3 Derecho de Cancelación (Supresión)</w:t>
      </w:r>
    </w:p>
    <w:p>
      <w:pPr>
        <w:spacing w:after="120" w:before="80" w:line="276"/>
        <w:jc w:val="both"/>
      </w:pPr>
      <w:r>
        <w:rPr>
          <w:rFonts w:ascii="Arial" w:cs="Arial" w:eastAsia="Arial" w:hAnsi="Arial"/>
          <w:b w:val="false"/>
          <w:bCs w:val="false"/>
          <w:color w:val="374151"/>
          <w:sz w:val="22"/>
          <w:szCs w:val="22"/>
        </w:rPr>
        <w:t xml:space="preserve">Puede solicitar la eliminación de sus datos cuando ya no sean necesarios para los fines para los que fueron recabados, salvo que exista obligación legal de conservarlos (como la historia clínica, cuya conservación mínima de 15 años es exigida por el D.S. 41/2012 MINSAL).</w:t>
      </w:r>
    </w:p>
    <w:p>
      <w:pPr>
        <w:pStyle w:val="Heading2"/>
        <w:spacing w:after="80" w:before="240"/>
      </w:pPr>
      <w:r>
        <w:rPr>
          <w:rFonts w:ascii="Arial" w:cs="Arial" w:eastAsia="Arial" w:hAnsi="Arial"/>
          <w:b/>
          <w:bCs/>
          <w:color w:val="374151"/>
          <w:sz w:val="22"/>
          <w:szCs w:val="22"/>
        </w:rPr>
        <w:t xml:space="preserve">7.4 Derecho de Oposición</w:t>
      </w:r>
    </w:p>
    <w:p>
      <w:pPr>
        <w:spacing w:after="120" w:before="80" w:line="276"/>
        <w:jc w:val="both"/>
      </w:pPr>
      <w:r>
        <w:rPr>
          <w:rFonts w:ascii="Arial" w:cs="Arial" w:eastAsia="Arial" w:hAnsi="Arial"/>
          <w:b w:val="false"/>
          <w:bCs w:val="false"/>
          <w:color w:val="374151"/>
          <w:sz w:val="22"/>
          <w:szCs w:val="22"/>
        </w:rPr>
        <w:t xml:space="preserve">Puede oponerse al tratamiento de sus datos para finalidades no esenciales, como el envío de notificaciones opcionales o comunicaciones de salud preventiva.</w:t>
      </w:r>
    </w:p>
    <w:p>
      <w:pPr>
        <w:pStyle w:val="Heading2"/>
        <w:spacing w:after="80" w:before="240"/>
      </w:pPr>
      <w:r>
        <w:rPr>
          <w:rFonts w:ascii="Arial" w:cs="Arial" w:eastAsia="Arial" w:hAnsi="Arial"/>
          <w:b/>
          <w:bCs/>
          <w:color w:val="374151"/>
          <w:sz w:val="22"/>
          <w:szCs w:val="22"/>
        </w:rPr>
        <w:t xml:space="preserve">7.5 Derechos especiales — Ley N° 20.584</w:t>
      </w:r>
    </w:p>
    <w:p>
      <w:pPr>
        <w:pStyle w:val="ListParagraph"/>
        <w:numPr>
          <w:ilvl w:val="0"/>
          <w:numId w:val="2"/>
        </w:numPr>
        <w:spacing w:after="60" w:before="60"/>
      </w:pPr>
      <w:r>
        <w:rPr>
          <w:rFonts w:ascii="Arial" w:cs="Arial" w:eastAsia="Arial" w:hAnsi="Arial"/>
          <w:color w:val="374151"/>
          <w:sz w:val="22"/>
          <w:szCs w:val="22"/>
        </w:rPr>
        <w:t xml:space="preserve">Derecho a conocer el diagnóstico y su condición de salud (Art. 10)</w:t>
      </w:r>
    </w:p>
    <w:p>
      <w:pPr>
        <w:pStyle w:val="ListParagraph"/>
        <w:numPr>
          <w:ilvl w:val="0"/>
          <w:numId w:val="2"/>
        </w:numPr>
        <w:spacing w:after="60" w:before="60"/>
      </w:pPr>
      <w:r>
        <w:rPr>
          <w:rFonts w:ascii="Arial" w:cs="Arial" w:eastAsia="Arial" w:hAnsi="Arial"/>
          <w:color w:val="374151"/>
          <w:sz w:val="22"/>
          <w:szCs w:val="22"/>
        </w:rPr>
        <w:t xml:space="preserve">Derecho a la confidencialidad de su información de salud (Art. 12)</w:t>
      </w:r>
    </w:p>
    <w:p>
      <w:pPr>
        <w:pStyle w:val="ListParagraph"/>
        <w:numPr>
          <w:ilvl w:val="0"/>
          <w:numId w:val="2"/>
        </w:numPr>
        <w:spacing w:after="60" w:before="60"/>
      </w:pPr>
      <w:r>
        <w:rPr>
          <w:rFonts w:ascii="Arial" w:cs="Arial" w:eastAsia="Arial" w:hAnsi="Arial"/>
          <w:color w:val="374151"/>
          <w:sz w:val="22"/>
          <w:szCs w:val="22"/>
        </w:rPr>
        <w:t xml:space="preserve">Derecho a acceder a su ficha clínica y obtener copia de ella (Art. 13)</w:t>
      </w:r>
    </w:p>
    <w:p>
      <w:pPr>
        <w:pStyle w:val="ListParagraph"/>
        <w:numPr>
          <w:ilvl w:val="0"/>
          <w:numId w:val="2"/>
        </w:numPr>
        <w:spacing w:after="60" w:before="60"/>
      </w:pPr>
      <w:r>
        <w:rPr>
          <w:rFonts w:ascii="Arial" w:cs="Arial" w:eastAsia="Arial" w:hAnsi="Arial"/>
          <w:color w:val="374151"/>
          <w:sz w:val="22"/>
          <w:szCs w:val="22"/>
        </w:rPr>
        <w:t xml:space="preserve">Derecho a que se corrijan los errores de hecho de la ficha clínica (Art. 13)</w:t>
      </w:r>
    </w:p>
    <w:p>
      <w:pPr>
        <w:pStyle w:val="ListParagraph"/>
        <w:numPr>
          <w:ilvl w:val="0"/>
          <w:numId w:val="2"/>
        </w:numPr>
        <w:spacing w:after="60" w:before="60"/>
      </w:pPr>
      <w:r>
        <w:rPr>
          <w:rFonts w:ascii="Arial" w:cs="Arial" w:eastAsia="Arial" w:hAnsi="Arial"/>
          <w:color w:val="374151"/>
          <w:sz w:val="22"/>
          <w:szCs w:val="22"/>
        </w:rPr>
        <w:t xml:space="preserve">Derecho a indicar quién puede tener acceso a su información (Art. 12)</w:t>
      </w:r>
    </w:p>
    <w:p>
      <w:pPr>
        <w:pStyle w:val="Heading2"/>
        <w:spacing w:after="80" w:before="240"/>
      </w:pPr>
      <w:r>
        <w:rPr>
          <w:rFonts w:ascii="Arial" w:cs="Arial" w:eastAsia="Arial" w:hAnsi="Arial"/>
          <w:b/>
          <w:bCs/>
          <w:color w:val="374151"/>
          <w:sz w:val="22"/>
          <w:szCs w:val="22"/>
        </w:rPr>
        <w:t xml:space="preserve">7.6 Cómo ejercer sus derechos</w:t>
      </w:r>
    </w:p>
    <w:p>
      <w:pPr>
        <w:spacing w:after="120" w:before="80" w:line="276"/>
        <w:jc w:val="both"/>
      </w:pPr>
      <w:r>
        <w:rPr>
          <w:rFonts w:ascii="Arial" w:cs="Arial" w:eastAsia="Arial" w:hAnsi="Arial"/>
          <w:b w:val="false"/>
          <w:bCs w:val="false"/>
          <w:color w:val="374151"/>
          <w:sz w:val="22"/>
          <w:szCs w:val="22"/>
        </w:rPr>
        <w:t xml:space="preserve">Para ejercer cualquiera de los derechos anteriores, puede:</w:t>
      </w:r>
    </w:p>
    <w:p>
      <w:pPr>
        <w:pStyle w:val="ListParagraph"/>
        <w:numPr>
          <w:ilvl w:val="0"/>
          <w:numId w:val="2"/>
        </w:numPr>
        <w:spacing w:after="60" w:before="60"/>
      </w:pPr>
      <w:r>
        <w:rPr>
          <w:rFonts w:ascii="Arial" w:cs="Arial" w:eastAsia="Arial" w:hAnsi="Arial"/>
          <w:color w:val="374151"/>
          <w:sz w:val="22"/>
          <w:szCs w:val="22"/>
        </w:rPr>
        <w:t xml:space="preserve">Enviar una solicitud escrita a privacidad@vinamed.cl con su nombre completo, RUT y descripción del derecho que desea ejercer.</w:t>
      </w:r>
    </w:p>
    <w:p>
      <w:pPr>
        <w:pStyle w:val="ListParagraph"/>
        <w:numPr>
          <w:ilvl w:val="0"/>
          <w:numId w:val="2"/>
        </w:numPr>
        <w:spacing w:after="60" w:before="60"/>
      </w:pPr>
      <w:r>
        <w:rPr>
          <w:rFonts w:ascii="Arial" w:cs="Arial" w:eastAsia="Arial" w:hAnsi="Arial"/>
          <w:color w:val="374151"/>
          <w:sz w:val="22"/>
          <w:szCs w:val="22"/>
        </w:rPr>
        <w:t xml:space="preserve">Presentar una solicitud presencial en recepción del Centro, adjuntando copia de su cédula de identidad.</w:t>
      </w:r>
    </w:p>
    <w:p>
      <w:pPr>
        <w:spacing w:after="120" w:before="80" w:line="276"/>
        <w:jc w:val="both"/>
      </w:pPr>
      <w:r>
        <w:rPr>
          <w:rFonts w:ascii="Arial" w:cs="Arial" w:eastAsia="Arial" w:hAnsi="Arial"/>
          <w:b w:val="false"/>
          <w:bCs w:val="false"/>
          <w:color w:val="374151"/>
          <w:sz w:val="22"/>
          <w:szCs w:val="22"/>
        </w:rPr>
        <w:t xml:space="preserve">El Centro responderá su solicitud dentro de un plazo de 15 días hábiles desde su recepción. Si la solicitud requiere mayor análisis, podremos extender el plazo hasta 30 días hábiles, notificándole oportunamente.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5E7EB" w:sz="1"/>
              <w:left w:val="single" w:color="E5E7EB" w:sz="1"/>
              <w:bottom w:val="single" w:color="E5E7EB" w:sz="1"/>
              <w:right w:val="single" w:color="E5E7EB" w:sz="1"/>
            </w:tcBorders>
            <w:shd w:fill="CFFAFE" w:val="clear"/>
            <w:tcMar>
              <w:top w:type="dxa" w:w="160"/>
              <w:left w:type="dxa" w:w="200"/>
              <w:bottom w:type="dxa" w:w="160"/>
              <w:right w:type="dxa" w:w="200"/>
            </w:tcMar>
          </w:tcPr>
          <w:p>
            <w:pPr>
              <w:spacing w:after="80" w:before="0"/>
            </w:pPr>
            <w:r>
              <w:rPr>
                <w:rFonts w:ascii="Arial" w:cs="Arial" w:eastAsia="Arial" w:hAnsi="Arial"/>
                <w:b/>
                <w:bCs/>
                <w:color w:val="0E7490"/>
                <w:sz w:val="22"/>
                <w:szCs w:val="22"/>
              </w:rPr>
              <w:t xml:space="preserve">Reclamaciones ante la autoridad</w:t>
            </w:r>
          </w:p>
          <w:p>
            <w:pPr>
              <w:spacing w:after="0" w:before="0"/>
            </w:pPr>
            <w:r>
              <w:rPr>
                <w:rFonts w:ascii="Arial" w:cs="Arial" w:eastAsia="Arial" w:hAnsi="Arial"/>
                <w:color w:val="374151"/>
                <w:sz w:val="22"/>
                <w:szCs w:val="22"/>
              </w:rPr>
              <w:t xml:space="preserve">Si considera que el tratamiento de sus datos vulnera sus derechos, puede presentar un reclamo ante el Consejo para la Transparencia (www.consejotransparencia.cl) o ante el Juzgado de Letras competente, conforme a la Ley N° 19.628.</w:t>
            </w:r>
          </w:p>
        </w:tc>
      </w:tr>
    </w:tbl>
    <w:p>
      <w:pPr>
        <w:pBdr>
          <w:bottom w:val="single" w:color="0E7490" w:sz="4" w:space="1"/>
        </w:pBdr>
        <w:spacing w:after="120" w:before="120"/>
      </w:pPr>
      <w:r>
        <w:t xml:space="preserve"/>
      </w:r>
    </w:p>
    <w:p>
      <w:pPr>
        <w:pStyle w:val="Heading1"/>
        <w:spacing w:after="120" w:before="360"/>
      </w:pPr>
      <w:r>
        <w:rPr>
          <w:rFonts w:ascii="Arial" w:cs="Arial" w:eastAsia="Arial" w:hAnsi="Arial"/>
          <w:b/>
          <w:bCs/>
          <w:color w:val="0E7490"/>
          <w:sz w:val="28"/>
          <w:szCs w:val="28"/>
        </w:rPr>
        <w:t xml:space="preserve">8. Cookies y tecnologías de seguimiento</w:t>
      </w:r>
    </w:p>
    <w:p>
      <w:pPr>
        <w:spacing w:after="120" w:before="80" w:line="276"/>
        <w:jc w:val="both"/>
      </w:pPr>
      <w:r>
        <w:rPr>
          <w:rFonts w:ascii="Arial" w:cs="Arial" w:eastAsia="Arial" w:hAnsi="Arial"/>
          <w:b w:val="false"/>
          <w:bCs w:val="false"/>
          <w:color w:val="374151"/>
          <w:sz w:val="22"/>
          <w:szCs w:val="22"/>
        </w:rPr>
        <w:t xml:space="preserve">El Portal puede utilizar cookies técnicas esenciales para el funcionamiento de la sesión. No utilizamos cookies de rastreo publicitario ni compartimos datos de navegación con redes publicitarias. Puede configurar su navegador para rechazar cookies, aunque esto podría afectar el funcionamiento del Portal.</w:t>
      </w:r>
    </w:p>
    <w:p>
      <w:pPr>
        <w:pBdr>
          <w:bottom w:val="single" w:color="0E7490" w:sz="4" w:space="1"/>
        </w:pBdr>
        <w:spacing w:after="120" w:before="120"/>
      </w:pPr>
      <w:r>
        <w:t xml:space="preserve"/>
      </w:r>
    </w:p>
    <w:p>
      <w:pPr>
        <w:pStyle w:val="Heading1"/>
        <w:spacing w:after="120" w:before="360"/>
      </w:pPr>
      <w:r>
        <w:rPr>
          <w:rFonts w:ascii="Arial" w:cs="Arial" w:eastAsia="Arial" w:hAnsi="Arial"/>
          <w:b/>
          <w:bCs/>
          <w:color w:val="0E7490"/>
          <w:sz w:val="28"/>
          <w:szCs w:val="28"/>
        </w:rPr>
        <w:t xml:space="preserve">9. Modificaciones a esta política</w:t>
      </w:r>
    </w:p>
    <w:p>
      <w:pPr>
        <w:spacing w:after="120" w:before="80" w:line="276"/>
        <w:jc w:val="both"/>
      </w:pPr>
      <w:r>
        <w:rPr>
          <w:rFonts w:ascii="Arial" w:cs="Arial" w:eastAsia="Arial" w:hAnsi="Arial"/>
          <w:b w:val="false"/>
          <w:bCs w:val="false"/>
          <w:color w:val="374151"/>
          <w:sz w:val="22"/>
          <w:szCs w:val="22"/>
        </w:rPr>
        <w:t xml:space="preserve">El Centro podrá actualizar esta Política de Privacidad para reflejar cambios normativos, tecnológicos o de práctica clínica. Cuando se realicen cambios sustanciales, le notificaremos a través del Portal o al correo electrónico registrado, con al menos 15 días de anticipación a la entrada en vigencia. La versión siempre vigente estará disponible en el Portal.</w:t>
      </w:r>
    </w:p>
    <w:p>
      <w:pPr>
        <w:pBdr>
          <w:bottom w:val="single" w:color="0E7490" w:sz="4" w:space="1"/>
        </w:pBdr>
        <w:spacing w:after="120" w:before="120"/>
      </w:pPr>
      <w:r>
        <w:t xml:space="preserve"/>
      </w:r>
    </w:p>
    <w:p>
      <w:pPr>
        <w:pStyle w:val="Heading1"/>
        <w:spacing w:after="120" w:before="360"/>
      </w:pPr>
      <w:r>
        <w:rPr>
          <w:rFonts w:ascii="Arial" w:cs="Arial" w:eastAsia="Arial" w:hAnsi="Arial"/>
          <w:b/>
          <w:bCs/>
          <w:color w:val="0E7490"/>
          <w:sz w:val="28"/>
          <w:szCs w:val="28"/>
        </w:rPr>
        <w:t xml:space="preserve">10. Marco normativo de referencia</w:t>
      </w:r>
    </w:p>
    <w:p>
      <w:pPr>
        <w:pStyle w:val="ListParagraph"/>
        <w:numPr>
          <w:ilvl w:val="0"/>
          <w:numId w:val="2"/>
        </w:numPr>
        <w:spacing w:after="60" w:before="60"/>
      </w:pPr>
      <w:r>
        <w:rPr>
          <w:rFonts w:ascii="Arial" w:cs="Arial" w:eastAsia="Arial" w:hAnsi="Arial"/>
          <w:color w:val="374151"/>
          <w:sz w:val="22"/>
          <w:szCs w:val="22"/>
        </w:rPr>
        <w:t xml:space="preserve">Ley N° 19.628 — Protección de la vida privada (datos personales)</w:t>
      </w:r>
    </w:p>
    <w:p>
      <w:pPr>
        <w:pStyle w:val="ListParagraph"/>
        <w:numPr>
          <w:ilvl w:val="0"/>
          <w:numId w:val="2"/>
        </w:numPr>
        <w:spacing w:after="60" w:before="60"/>
      </w:pPr>
      <w:r>
        <w:rPr>
          <w:rFonts w:ascii="Arial" w:cs="Arial" w:eastAsia="Arial" w:hAnsi="Arial"/>
          <w:color w:val="374151"/>
          <w:sz w:val="22"/>
          <w:szCs w:val="22"/>
        </w:rPr>
        <w:t xml:space="preserve">Ley N° 20.584 — Regula los derechos y deberes que tienen las personas en relación con acciones vinculadas a su atención en salud</w:t>
      </w:r>
    </w:p>
    <w:p>
      <w:pPr>
        <w:pStyle w:val="ListParagraph"/>
        <w:numPr>
          <w:ilvl w:val="0"/>
          <w:numId w:val="2"/>
        </w:numPr>
        <w:spacing w:after="60" w:before="60"/>
      </w:pPr>
      <w:r>
        <w:rPr>
          <w:rFonts w:ascii="Arial" w:cs="Arial" w:eastAsia="Arial" w:hAnsi="Arial"/>
          <w:color w:val="374151"/>
          <w:sz w:val="22"/>
          <w:szCs w:val="22"/>
        </w:rPr>
        <w:t xml:space="preserve">Ley N° 19.799 — Documentos electrónicos, firma electrónica y servicios de certificación</w:t>
      </w:r>
    </w:p>
    <w:p>
      <w:pPr>
        <w:pStyle w:val="ListParagraph"/>
        <w:numPr>
          <w:ilvl w:val="0"/>
          <w:numId w:val="2"/>
        </w:numPr>
        <w:spacing w:after="60" w:before="60"/>
      </w:pPr>
      <w:r>
        <w:rPr>
          <w:rFonts w:ascii="Arial" w:cs="Arial" w:eastAsia="Arial" w:hAnsi="Arial"/>
          <w:color w:val="374151"/>
          <w:sz w:val="22"/>
          <w:szCs w:val="22"/>
        </w:rPr>
        <w:t xml:space="preserve">D.S. N° 41/2012 MINSAL — Reglamento sobre ficha clínica</w:t>
      </w:r>
    </w:p>
    <w:p>
      <w:pPr>
        <w:pStyle w:val="ListParagraph"/>
        <w:numPr>
          <w:ilvl w:val="0"/>
          <w:numId w:val="2"/>
        </w:numPr>
        <w:spacing w:after="60" w:before="60"/>
      </w:pPr>
      <w:r>
        <w:rPr>
          <w:rFonts w:ascii="Arial" w:cs="Arial" w:eastAsia="Arial" w:hAnsi="Arial"/>
          <w:color w:val="374151"/>
          <w:sz w:val="22"/>
          <w:szCs w:val="22"/>
        </w:rPr>
        <w:t xml:space="preserve">D.F.L. N° 1/2005 MINSAL — Código Sanitario</w:t>
      </w:r>
    </w:p>
    <w:p>
      <w:pPr>
        <w:pStyle w:val="ListParagraph"/>
        <w:numPr>
          <w:ilvl w:val="0"/>
          <w:numId w:val="2"/>
        </w:numPr>
        <w:spacing w:after="60" w:before="60"/>
      </w:pPr>
      <w:r>
        <w:rPr>
          <w:rFonts w:ascii="Arial" w:cs="Arial" w:eastAsia="Arial" w:hAnsi="Arial"/>
          <w:color w:val="374151"/>
          <w:sz w:val="22"/>
          <w:szCs w:val="22"/>
        </w:rPr>
        <w:t xml:space="preserve">Boletín 11.144-07 — Proyecto de ley sobre protección de datos personales (en tramitación)</w:t>
      </w:r>
    </w:p>
    <w:p>
      <w:pPr>
        <w:spacing w:after="0" w:before="480"/>
      </w:pPr>
      <w:r>
        <w:t xml:space="preserve"/>
      </w:r>
    </w:p>
    <w:p>
      <w:pPr>
        <w:pBdr>
          <w:top w:val="single" w:color="0E7490" w:sz="4" w:space="2"/>
        </w:pBdr>
        <w:spacing w:after="0" w:before="120"/>
        <w:jc w:val="center"/>
      </w:pPr>
      <w:r>
        <w:rPr>
          <w:rFonts w:ascii="Arial" w:cs="Arial" w:eastAsia="Arial" w:hAnsi="Arial"/>
          <w:color w:val="9CA3AF"/>
          <w:sz w:val="18"/>
          <w:szCs w:val="18"/>
        </w:rPr>
        <w:t xml:space="preserve">© Centro Médico ViñaMed · Política de Privacidad v1.0 · Enero 2026</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Centro Médico ViñaMed · Política de Privacidad · Versión 1.0 · Vigente desde enero 2026 · Página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de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2026-04-27T18:59:27.595Z</dcterms:created>
  <dcterms:modified xsi:type="dcterms:W3CDTF">2026-04-27T18:59:27.597Z</dcterms:modified>
</cp:coreProperties>
</file>

<file path=docProps/custom.xml><?xml version="1.0" encoding="utf-8"?>
<Properties xmlns="http://schemas.openxmlformats.org/officeDocument/2006/custom-properties" xmlns:vt="http://schemas.openxmlformats.org/officeDocument/2006/docPropsVTypes"/>
</file>