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8119E"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INFORME DE INTERVENCIÓN DE LA LIQUIDACIÓN DEL EJERCICIO</w:t>
      </w:r>
    </w:p>
    <w:p w14:paraId="23239AF1" w14:textId="19200D28" w:rsidR="002D6E85" w:rsidRDefault="002D6E85" w:rsidP="007A7481">
      <w:pPr>
        <w:jc w:val="both"/>
        <w:rPr>
          <w:rFonts w:ascii="Century Gothic" w:hAnsi="Century Gothic"/>
          <w:sz w:val="24"/>
          <w:szCs w:val="24"/>
        </w:rPr>
      </w:pPr>
    </w:p>
    <w:p w14:paraId="6DCB5127" w14:textId="77777777" w:rsidR="00442E7F" w:rsidRDefault="00442E7F" w:rsidP="007A7481">
      <w:pPr>
        <w:jc w:val="both"/>
        <w:rPr>
          <w:rFonts w:ascii="Century Gothic" w:hAnsi="Century Gothic"/>
          <w:sz w:val="24"/>
          <w:szCs w:val="24"/>
        </w:rPr>
      </w:pPr>
    </w:p>
    <w:p w14:paraId="77684DD0" w14:textId="77777777" w:rsidR="00442E7F" w:rsidRPr="007A7481" w:rsidRDefault="00442E7F" w:rsidP="007A7481">
      <w:pPr>
        <w:jc w:val="both"/>
        <w:rPr>
          <w:rFonts w:ascii="Century Gothic" w:hAnsi="Century Gothic"/>
          <w:sz w:val="24"/>
          <w:szCs w:val="24"/>
        </w:rPr>
      </w:pPr>
    </w:p>
    <w:p w14:paraId="447F00D1" w14:textId="1C8EE452" w:rsidR="001E0A5F" w:rsidRPr="007A7481" w:rsidRDefault="00BC1B5F" w:rsidP="007A7481">
      <w:pPr>
        <w:jc w:val="both"/>
        <w:rPr>
          <w:rFonts w:ascii="Century Gothic" w:hAnsi="Century Gothic"/>
          <w:sz w:val="24"/>
          <w:szCs w:val="24"/>
        </w:rPr>
      </w:pPr>
      <w:r w:rsidRPr="007A7481">
        <w:rPr>
          <w:rFonts w:ascii="Century Gothic" w:hAnsi="Century Gothic"/>
          <w:sz w:val="24"/>
          <w:szCs w:val="24"/>
        </w:rPr>
        <w:t>1</w:t>
      </w:r>
      <w:r w:rsidR="00626BF8">
        <w:rPr>
          <w:rFonts w:ascii="Century Gothic" w:hAnsi="Century Gothic"/>
          <w:sz w:val="24"/>
          <w:szCs w:val="24"/>
        </w:rPr>
        <w:t>)</w:t>
      </w:r>
      <w:r w:rsidRPr="007A7481">
        <w:rPr>
          <w:rFonts w:ascii="Century Gothic" w:hAnsi="Century Gothic"/>
          <w:sz w:val="24"/>
          <w:szCs w:val="24"/>
        </w:rPr>
        <w:t xml:space="preserve"> </w:t>
      </w:r>
      <w:r w:rsidR="001E0A5F" w:rsidRPr="007A7481">
        <w:rPr>
          <w:rFonts w:ascii="Century Gothic" w:hAnsi="Century Gothic"/>
          <w:sz w:val="24"/>
          <w:szCs w:val="24"/>
        </w:rPr>
        <w:t>Justificación del Informe.</w:t>
      </w:r>
    </w:p>
    <w:p w14:paraId="27FBDC34" w14:textId="4D52D141"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De acuerdo con lo establecido por el artículo 191 del texto refundido de la Ley Reguladora de las Haciendas Locales, aprobado por Real Decreto Legislativo 2/2004, de 5 de marzo y el artículo 89 del Real Decreto 500/1990, de 20 de abril, por el que se desarrolla el Capítulo primero del Título sexto de la Ley 39/1988, de 28 de diciembre, reguladora de las Haciendas Locales, en materia de presupuestos, el Presupuesto de cada ejercicio se liquidará en cuanto a la recaudación de derechos y al pago de obligaciones, el 31 de diciembre del año natural correspondiente.</w:t>
      </w:r>
    </w:p>
    <w:p w14:paraId="043B89C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Entidades deberán confeccionar la liquidación de su presupuesto antes del primer día de marzo del ejercicio siguiente, correspondiendo su aprobación a la Presidencia de la Entidad local, previo informe de la Intervención, tal y como establece el artículo 191.3 del del texto refundido de la Ley Reguladora de las Haciendas Locales, aprobado por Real Decreto Legislativo 2/2004, de 5 de marzo.</w:t>
      </w:r>
    </w:p>
    <w:p w14:paraId="7B20D3A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Aprobada la liquidación, se dará cuenta al Pleno en la primera sesión que se celebre, remitiéndose una copia junto con el expediente de aprobación, tanto a la Comunidad Autónoma como al Ministerio de Hacienda.</w:t>
      </w:r>
    </w:p>
    <w:p w14:paraId="1C33C274" w14:textId="77777777" w:rsidR="00DF2897" w:rsidRDefault="00DF2897" w:rsidP="007A7481">
      <w:pPr>
        <w:jc w:val="both"/>
        <w:rPr>
          <w:rFonts w:ascii="Century Gothic" w:hAnsi="Century Gothic"/>
          <w:sz w:val="24"/>
          <w:szCs w:val="24"/>
        </w:rPr>
      </w:pPr>
    </w:p>
    <w:p w14:paraId="3563C6DE" w14:textId="256E084C" w:rsidR="002D6E85" w:rsidRPr="007A7481" w:rsidRDefault="00BC1B5F" w:rsidP="007A7481">
      <w:pPr>
        <w:jc w:val="both"/>
        <w:rPr>
          <w:rFonts w:ascii="Century Gothic" w:hAnsi="Century Gothic"/>
          <w:sz w:val="24"/>
          <w:szCs w:val="24"/>
        </w:rPr>
      </w:pPr>
      <w:r w:rsidRPr="007A7481">
        <w:rPr>
          <w:rFonts w:ascii="Century Gothic" w:hAnsi="Century Gothic"/>
          <w:sz w:val="24"/>
          <w:szCs w:val="24"/>
        </w:rPr>
        <w:t>2</w:t>
      </w:r>
      <w:r w:rsidR="00626BF8">
        <w:rPr>
          <w:rFonts w:ascii="Century Gothic" w:hAnsi="Century Gothic"/>
          <w:sz w:val="24"/>
          <w:szCs w:val="24"/>
        </w:rPr>
        <w:t>)</w:t>
      </w:r>
      <w:r w:rsidRPr="007A7481">
        <w:rPr>
          <w:rFonts w:ascii="Century Gothic" w:hAnsi="Century Gothic"/>
          <w:sz w:val="24"/>
          <w:szCs w:val="24"/>
        </w:rPr>
        <w:t xml:space="preserve"> </w:t>
      </w:r>
      <w:r w:rsidR="00527A6D" w:rsidRPr="007A7481">
        <w:rPr>
          <w:rFonts w:ascii="Century Gothic" w:hAnsi="Century Gothic"/>
          <w:sz w:val="24"/>
          <w:szCs w:val="24"/>
        </w:rPr>
        <w:t>La legislación aplicable es la siguiente</w:t>
      </w:r>
      <w:r w:rsidR="001E0A5F" w:rsidRPr="007A7481">
        <w:rPr>
          <w:rFonts w:ascii="Century Gothic" w:hAnsi="Century Gothic"/>
          <w:sz w:val="24"/>
          <w:szCs w:val="24"/>
        </w:rPr>
        <w:t>.</w:t>
      </w:r>
    </w:p>
    <w:p w14:paraId="273AD593" w14:textId="77777777" w:rsidR="001E0A5F" w:rsidRPr="007A7481" w:rsidRDefault="001E0A5F" w:rsidP="007A7481">
      <w:pPr>
        <w:jc w:val="both"/>
        <w:rPr>
          <w:rFonts w:ascii="Century Gothic" w:hAnsi="Century Gothic"/>
          <w:sz w:val="24"/>
          <w:szCs w:val="24"/>
        </w:rPr>
      </w:pPr>
    </w:p>
    <w:p w14:paraId="4FD10465"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El artículo 191.3 del texto refundido de la Ley Reguladora de las Haciendas Locales, aprobado por Real Decreto Legislativo 2/2004, de 5 de marzo.</w:t>
      </w:r>
    </w:p>
    <w:p w14:paraId="20A2770D"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El artículo 90 del Real Decreto 500/1990, 20 de abril, por el que se desarrolla el capítulo primero del título sexto de la Ley 39/1988, de 28 de diciembre, reguladora de las Haciendas Locales, en materia de presupuestos.</w:t>
      </w:r>
    </w:p>
    <w:p w14:paraId="0712DACC" w14:textId="77777777" w:rsidR="00DF2897" w:rsidRDefault="00DF2897" w:rsidP="007A7481">
      <w:pPr>
        <w:jc w:val="both"/>
        <w:rPr>
          <w:rFonts w:ascii="Century Gothic" w:hAnsi="Century Gothic"/>
          <w:sz w:val="24"/>
          <w:szCs w:val="24"/>
        </w:rPr>
      </w:pPr>
    </w:p>
    <w:p w14:paraId="4CB7BED5" w14:textId="5070848F" w:rsidR="001E0A5F" w:rsidRPr="007A7481" w:rsidRDefault="00BC1B5F" w:rsidP="007A7481">
      <w:pPr>
        <w:jc w:val="both"/>
        <w:rPr>
          <w:rFonts w:ascii="Century Gothic" w:hAnsi="Century Gothic"/>
          <w:sz w:val="24"/>
          <w:szCs w:val="24"/>
        </w:rPr>
      </w:pPr>
      <w:r w:rsidRPr="007A7481">
        <w:rPr>
          <w:rFonts w:ascii="Century Gothic" w:hAnsi="Century Gothic"/>
          <w:sz w:val="24"/>
          <w:szCs w:val="24"/>
        </w:rPr>
        <w:t>3</w:t>
      </w:r>
      <w:r w:rsidR="00626BF8">
        <w:rPr>
          <w:rFonts w:ascii="Century Gothic" w:hAnsi="Century Gothic"/>
          <w:sz w:val="24"/>
          <w:szCs w:val="24"/>
        </w:rPr>
        <w:t>)</w:t>
      </w:r>
      <w:r w:rsidRPr="007A7481">
        <w:rPr>
          <w:rFonts w:ascii="Century Gothic" w:hAnsi="Century Gothic"/>
          <w:sz w:val="24"/>
          <w:szCs w:val="24"/>
        </w:rPr>
        <w:t xml:space="preserve"> </w:t>
      </w:r>
      <w:r w:rsidR="001E0A5F" w:rsidRPr="007A7481">
        <w:rPr>
          <w:rFonts w:ascii="Century Gothic" w:hAnsi="Century Gothic"/>
          <w:sz w:val="24"/>
          <w:szCs w:val="24"/>
        </w:rPr>
        <w:t>Composición.</w:t>
      </w:r>
    </w:p>
    <w:p w14:paraId="13BDF7D4" w14:textId="56566D9B"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De conformidad con lo dispuesto en el artículo 93.1 del Real Decreto 500/1990, de 20 de abril, por el que se desarrolla el capítulo primero del título sexto de la Ley 39/1988, de 28 de diciembre, reguladora de las Haciendas Locales, el estado de la liquidación del Presupuesto de esta entidad está compuesta por:</w:t>
      </w:r>
    </w:p>
    <w:p w14:paraId="79D94C2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Liquidación del Presupuesto de Gastos.</w:t>
      </w:r>
    </w:p>
    <w:p w14:paraId="204AEFE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Liquidación del Presupuesto de Ingresos.</w:t>
      </w:r>
    </w:p>
    <w:p w14:paraId="75E216E7"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Resultado Presupuestario.</w:t>
      </w:r>
    </w:p>
    <w:p w14:paraId="7D959FA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 liquidación del Presupuesto de gastos y la liquidación del Presupuesto de ingresos se presenta con el nivel de desagregación del Presupuesto aprobado y de sus modificaciones posteriores.</w:t>
      </w:r>
    </w:p>
    <w:p w14:paraId="02D8DE30" w14:textId="77777777" w:rsidR="00DF2897" w:rsidRDefault="00DF2897" w:rsidP="007A7481">
      <w:pPr>
        <w:jc w:val="both"/>
        <w:rPr>
          <w:rFonts w:ascii="Century Gothic" w:hAnsi="Century Gothic"/>
          <w:sz w:val="24"/>
          <w:szCs w:val="24"/>
        </w:rPr>
      </w:pPr>
    </w:p>
    <w:p w14:paraId="7A44A299" w14:textId="464D1F84" w:rsidR="001E0A5F" w:rsidRPr="007A7481" w:rsidRDefault="007A7481" w:rsidP="007A7481">
      <w:pPr>
        <w:jc w:val="both"/>
        <w:rPr>
          <w:rFonts w:ascii="Century Gothic" w:hAnsi="Century Gothic"/>
          <w:sz w:val="24"/>
          <w:szCs w:val="24"/>
        </w:rPr>
      </w:pPr>
      <w:r>
        <w:rPr>
          <w:rFonts w:ascii="Century Gothic" w:hAnsi="Century Gothic"/>
          <w:sz w:val="24"/>
          <w:szCs w:val="24"/>
        </w:rPr>
        <w:t>4</w:t>
      </w:r>
      <w:r w:rsidR="00626BF8">
        <w:rPr>
          <w:rFonts w:ascii="Century Gothic" w:hAnsi="Century Gothic"/>
          <w:sz w:val="24"/>
          <w:szCs w:val="24"/>
        </w:rPr>
        <w:t>)</w:t>
      </w:r>
      <w:r>
        <w:rPr>
          <w:rFonts w:ascii="Century Gothic" w:hAnsi="Century Gothic"/>
          <w:sz w:val="24"/>
          <w:szCs w:val="24"/>
        </w:rPr>
        <w:t xml:space="preserve"> Operaciones</w:t>
      </w:r>
      <w:r w:rsidR="001E0A5F" w:rsidRPr="007A7481">
        <w:rPr>
          <w:rFonts w:ascii="Century Gothic" w:hAnsi="Century Gothic"/>
          <w:sz w:val="24"/>
          <w:szCs w:val="24"/>
        </w:rPr>
        <w:t>.</w:t>
      </w:r>
    </w:p>
    <w:p w14:paraId="0112B185" w14:textId="13E95A94"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De conformidad con lo dispuesto en el artículo 93.2 del Real Decreto 500/1990, de 20 de abril, por el que se desarrolla el capítulo primero del título sexto de la Ley 39/1988, de 28 de diciembre, reguladora de las Haciendas Locales en materia de presupuestos, en la liquidación del Presupuesto de esta entidad se ha determinado:</w:t>
      </w:r>
    </w:p>
    <w:p w14:paraId="4530F32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derechos pendientes de cobro y las obligaciones pendientes de pago a 31 de diciembre.</w:t>
      </w:r>
    </w:p>
    <w:p w14:paraId="01EC6BEC"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El resultado presupuestario del ejercicio.</w:t>
      </w:r>
    </w:p>
    <w:p w14:paraId="65F4F262"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remanentes de crédito.</w:t>
      </w:r>
    </w:p>
    <w:p w14:paraId="0103758C"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El remanente de tesorería.</w:t>
      </w:r>
    </w:p>
    <w:p w14:paraId="6D514EE3" w14:textId="69D38C25" w:rsidR="001E0A5F" w:rsidRPr="007A7481" w:rsidRDefault="001E0A5F" w:rsidP="007A7481">
      <w:pPr>
        <w:jc w:val="both"/>
        <w:rPr>
          <w:rFonts w:ascii="Century Gothic" w:hAnsi="Century Gothic"/>
          <w:sz w:val="24"/>
          <w:szCs w:val="24"/>
        </w:rPr>
      </w:pPr>
      <w:r w:rsidRPr="007A7481">
        <w:rPr>
          <w:rFonts w:ascii="Century Gothic" w:hAnsi="Century Gothic"/>
          <w:sz w:val="24"/>
          <w:szCs w:val="24"/>
        </w:rPr>
        <w:t>Pendientes de Cobro y Pago.</w:t>
      </w:r>
    </w:p>
    <w:p w14:paraId="7CC11B1A" w14:textId="7BB86D98"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 xml:space="preserve">Los derechos pendientes de cobro y las obligaciones reconocidas pendientes de pago a 31 de diciembre de esta entidad que integran la agrupación de presupuestos cerrados y tienen la consideración de </w:t>
      </w:r>
      <w:r w:rsidRPr="007A7481">
        <w:rPr>
          <w:rFonts w:ascii="Century Gothic" w:hAnsi="Century Gothic"/>
          <w:sz w:val="24"/>
          <w:szCs w:val="24"/>
        </w:rPr>
        <w:lastRenderedPageBreak/>
        <w:t>operaciones de tesorería local en virtud de lo dispuesto en el artículo 94 del Real Decreto 500/1990, de 20 de abril, por el que se desarrolla el capítulo primero del título sexto de la Ley 39/1988, de 28 de diciembre, reguladora de las Haciendas Locales en materia de presupuestos, ascienden a las siguientes cantidades:</w:t>
      </w:r>
    </w:p>
    <w:p w14:paraId="1739AAD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Derechos pendientes de cobro:  «Informe A2» euros.</w:t>
      </w:r>
    </w:p>
    <w:p w14:paraId="1A5B927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Obligaciones pendientes de pago:  «Informe B2» euros.</w:t>
      </w:r>
    </w:p>
    <w:p w14:paraId="600EFD70" w14:textId="77777777" w:rsidR="00DF2897" w:rsidRDefault="00DF2897" w:rsidP="007A7481">
      <w:pPr>
        <w:jc w:val="both"/>
        <w:rPr>
          <w:rFonts w:ascii="Century Gothic" w:hAnsi="Century Gothic"/>
          <w:sz w:val="24"/>
          <w:szCs w:val="24"/>
        </w:rPr>
      </w:pPr>
    </w:p>
    <w:p w14:paraId="26E96E8F" w14:textId="113992F9" w:rsidR="001E0A5F" w:rsidRPr="007A7481" w:rsidRDefault="007A7481" w:rsidP="007A7481">
      <w:pPr>
        <w:jc w:val="both"/>
        <w:rPr>
          <w:rFonts w:ascii="Century Gothic" w:hAnsi="Century Gothic"/>
          <w:sz w:val="24"/>
          <w:szCs w:val="24"/>
        </w:rPr>
      </w:pPr>
      <w:r>
        <w:rPr>
          <w:rFonts w:ascii="Century Gothic" w:hAnsi="Century Gothic"/>
          <w:sz w:val="24"/>
          <w:szCs w:val="24"/>
        </w:rPr>
        <w:t>5</w:t>
      </w:r>
      <w:r w:rsidR="00626BF8">
        <w:rPr>
          <w:rFonts w:ascii="Century Gothic" w:hAnsi="Century Gothic"/>
          <w:sz w:val="24"/>
          <w:szCs w:val="24"/>
        </w:rPr>
        <w:t>)</w:t>
      </w:r>
      <w:r w:rsidR="00BC1B5F" w:rsidRPr="007A7481">
        <w:rPr>
          <w:rFonts w:ascii="Century Gothic" w:hAnsi="Century Gothic"/>
          <w:sz w:val="24"/>
          <w:szCs w:val="24"/>
        </w:rPr>
        <w:t xml:space="preserve"> </w:t>
      </w:r>
      <w:r>
        <w:rPr>
          <w:rFonts w:ascii="Century Gothic" w:hAnsi="Century Gothic"/>
          <w:sz w:val="24"/>
          <w:szCs w:val="24"/>
        </w:rPr>
        <w:t>Resultado Presupuestario</w:t>
      </w:r>
      <w:r w:rsidR="001E0A5F" w:rsidRPr="007A7481">
        <w:rPr>
          <w:rFonts w:ascii="Century Gothic" w:hAnsi="Century Gothic"/>
          <w:sz w:val="24"/>
          <w:szCs w:val="24"/>
        </w:rPr>
        <w:t>.</w:t>
      </w:r>
    </w:p>
    <w:p w14:paraId="460E6D9E" w14:textId="1BCD1D4A"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De conformidad con lo dispuesto en el artículo 96 del Real Decreto 500/1990, de 20 de abril, por el que se desarrolla el capítulo primero del título sexto de la Ley 39/1988, de 28 de diciembre, reguladora de las Haciendas Locales en materia de presupuestos, el resultado presupuestario, o resultado de las operaciones presupuestarias del ejercicio, viene determinado por la diferencia entre:</w:t>
      </w:r>
    </w:p>
    <w:p w14:paraId="32901B7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derechos presupuestarios liquidados, en sus valores netos, es decir, deducidos aquellos que, por cualquier motivo, hubieran sido anulados, que suponen un importe de  «Informe C2» euros, y</w:t>
      </w:r>
    </w:p>
    <w:p w14:paraId="5D799E1B" w14:textId="77777777" w:rsidR="002D6E85" w:rsidRDefault="00000000" w:rsidP="007A7481">
      <w:pPr>
        <w:jc w:val="both"/>
        <w:rPr>
          <w:rFonts w:ascii="Century Gothic" w:hAnsi="Century Gothic"/>
          <w:sz w:val="24"/>
          <w:szCs w:val="24"/>
        </w:rPr>
      </w:pPr>
      <w:r w:rsidRPr="007A7481">
        <w:rPr>
          <w:rFonts w:ascii="Century Gothic" w:hAnsi="Century Gothic"/>
          <w:sz w:val="24"/>
          <w:szCs w:val="24"/>
        </w:rPr>
        <w:t>Las obligaciones reconocidas, en sus valores netos, es decir, deducidas aquéllas que, por cualquier motivo, hubieran sido anuladas que suponen un importe de «Informe D2» euros.</w:t>
      </w:r>
    </w:p>
    <w:p w14:paraId="390E3452" w14:textId="77777777" w:rsidR="007A7481" w:rsidRPr="007A7481" w:rsidRDefault="007A7481" w:rsidP="007A7481">
      <w:pPr>
        <w:jc w:val="both"/>
        <w:rPr>
          <w:rFonts w:ascii="Century Gothic" w:hAnsi="Century Gothic"/>
          <w:sz w:val="24"/>
          <w:szCs w:val="24"/>
        </w:rPr>
      </w:pPr>
    </w:p>
    <w:p w14:paraId="56F10879" w14:textId="5F638921" w:rsidR="007A7481" w:rsidRDefault="007A7481" w:rsidP="007A7481">
      <w:pPr>
        <w:jc w:val="both"/>
        <w:rPr>
          <w:rFonts w:ascii="Century Gothic" w:hAnsi="Century Gothic"/>
          <w:sz w:val="24"/>
          <w:szCs w:val="24"/>
        </w:rPr>
      </w:pPr>
      <w:r>
        <w:rPr>
          <w:rFonts w:ascii="Century Gothic" w:hAnsi="Century Gothic"/>
          <w:sz w:val="24"/>
          <w:szCs w:val="24"/>
        </w:rPr>
        <w:t>6</w:t>
      </w:r>
      <w:r w:rsidR="00626BF8">
        <w:rPr>
          <w:rFonts w:ascii="Century Gothic" w:hAnsi="Century Gothic"/>
          <w:sz w:val="24"/>
          <w:szCs w:val="24"/>
        </w:rPr>
        <w:t>)</w:t>
      </w:r>
      <w:r>
        <w:rPr>
          <w:rFonts w:ascii="Century Gothic" w:hAnsi="Century Gothic"/>
          <w:sz w:val="24"/>
          <w:szCs w:val="24"/>
        </w:rPr>
        <w:t xml:space="preserve"> Ajustes al Resultado Presupuestario.</w:t>
      </w:r>
    </w:p>
    <w:p w14:paraId="1DB36CC5" w14:textId="1218A7FB"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Asimismo, el resultado presupuestario se deberá ajustar en función de:</w:t>
      </w:r>
    </w:p>
    <w:p w14:paraId="076077D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 xml:space="preserve">Las obligaciones financiadas con remanentes de tesorería para gastos generales; esto es, aquellos gastos realizados como consecuencia de modificaciones presupuestarias financiadas con remanente de Tesorería para gastos generales. Estos gastos realizados y que han sido financiados con remanente de Tesorería para gastos generales, se han tenido en cuenta para el cálculo del resultado presupuestario del ejercicio, </w:t>
      </w:r>
      <w:r w:rsidRPr="007A7481">
        <w:rPr>
          <w:rFonts w:ascii="Century Gothic" w:hAnsi="Century Gothic"/>
          <w:sz w:val="24"/>
          <w:szCs w:val="24"/>
        </w:rPr>
        <w:lastRenderedPageBreak/>
        <w:t>aumentando el mismo, por el siguiente valor: Gastos financiados con remanente de tesorería:  «Informe E2» euros.</w:t>
      </w:r>
    </w:p>
    <w:p w14:paraId="1AE153E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diferencias de financiación derivadas de gastos con financiación afectada las cuales podrán ser positivas (cuando los ingresos producidos son superiores a los que hubieran correspondido al gasto efectivamente realizado) o, negativas (cuando los ingresos producidos no han cubierto el gasto realizado). Teniendo en cuenta los datos de esta entidad local en el ejercicio, el ajuste correspondiente para que el resultado presupuestario ofrezca una situación real será el siguiente:</w:t>
      </w:r>
    </w:p>
    <w:p w14:paraId="515BDF77"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-Desviaciones positivas de financiación GAFA: «Informe F2» euros.</w:t>
      </w:r>
    </w:p>
    <w:p w14:paraId="4C98B45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-Desviaciones negativas de financiación GAFA: «Informe G2»euros.</w:t>
      </w:r>
    </w:p>
    <w:p w14:paraId="194A6A55"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 este modo, una vez realizados todos los cálculos regulados en el artículo 96 del Real Decreto 500/1990 de 20 de abril el RESULTADO PRESUPUESTARIO DEL EJERCICIO es: «Informe H2» euros.</w:t>
      </w:r>
    </w:p>
    <w:p w14:paraId="603E8CAB" w14:textId="77777777" w:rsidR="007A7481" w:rsidRDefault="007A7481" w:rsidP="007A7481">
      <w:pPr>
        <w:jc w:val="both"/>
        <w:rPr>
          <w:rFonts w:ascii="Century Gothic" w:hAnsi="Century Gothic"/>
          <w:sz w:val="24"/>
          <w:szCs w:val="24"/>
        </w:rPr>
      </w:pPr>
    </w:p>
    <w:p w14:paraId="155CA2C5" w14:textId="3149B610" w:rsidR="001E0A5F" w:rsidRPr="007A7481" w:rsidRDefault="007A7481" w:rsidP="007A7481">
      <w:pPr>
        <w:jc w:val="both"/>
        <w:rPr>
          <w:rFonts w:ascii="Century Gothic" w:hAnsi="Century Gothic"/>
          <w:sz w:val="24"/>
          <w:szCs w:val="24"/>
        </w:rPr>
      </w:pPr>
      <w:r>
        <w:rPr>
          <w:rFonts w:ascii="Century Gothic" w:hAnsi="Century Gothic"/>
          <w:sz w:val="24"/>
          <w:szCs w:val="24"/>
        </w:rPr>
        <w:t>7</w:t>
      </w:r>
      <w:r w:rsidR="00626BF8">
        <w:rPr>
          <w:rFonts w:ascii="Century Gothic" w:hAnsi="Century Gothic"/>
          <w:sz w:val="24"/>
          <w:szCs w:val="24"/>
        </w:rPr>
        <w:t>)</w:t>
      </w:r>
      <w:r w:rsidR="00BC1B5F" w:rsidRPr="007A7481">
        <w:rPr>
          <w:rFonts w:ascii="Century Gothic" w:hAnsi="Century Gothic"/>
          <w:sz w:val="24"/>
          <w:szCs w:val="24"/>
        </w:rPr>
        <w:t xml:space="preserve"> </w:t>
      </w:r>
      <w:r w:rsidR="001E0A5F" w:rsidRPr="007A7481">
        <w:rPr>
          <w:rFonts w:ascii="Century Gothic" w:hAnsi="Century Gothic"/>
          <w:sz w:val="24"/>
          <w:szCs w:val="24"/>
        </w:rPr>
        <w:t>Remanentes de Crédito.</w:t>
      </w:r>
    </w:p>
    <w:p w14:paraId="56DE0FBA" w14:textId="41D14BFB"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Los remanentes de crédito, estarán constituidos por los saldos de créditos definitivos no afectados al cumplimiento de obligaciones reconocidas, y lo integrarán lo siguientes componentes:</w:t>
      </w:r>
    </w:p>
    <w:p w14:paraId="200E2C09"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saldos de disposiciones, es decir, la diferencia entre los gastos dispuestos o comprometidos y las obligaciones reconocidas</w:t>
      </w:r>
    </w:p>
    <w:p w14:paraId="5ABC2A7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saldos de autorizaciones, es decir, las diferencia entre los gastos autorizados y los gastos comprometidos</w:t>
      </w:r>
    </w:p>
    <w:p w14:paraId="7FB5DEDC"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saldos de crédito, es decir, la suma de los créditos disponibles, créditos no disponibles y créditos retenidos pendientes de utilizar.</w:t>
      </w:r>
    </w:p>
    <w:p w14:paraId="7F3390A2"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 conformidad con lo dispuesto en el artículo 99 del Real Decreto 500/1990, de 20 de abril por el que se desarrolla el capítulo primero del título sexto de la Ley 39/1988, de 28 de diciembre, reguladora de las Haciendas Locales en materia de presupuestos, los remanentes de crédito quedarán anulados al final del ejercicio y, no se podrán incorporar al presupuesto del ejercicio siguiente a no ser que procedan de:</w:t>
      </w:r>
    </w:p>
    <w:p w14:paraId="78409AA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lastRenderedPageBreak/>
        <w:t>Créditos extraordinarios y los suplementos de crédito, así como las transferencias de crédito que hayan sido concedidos o autorizados, respectivamente, en el último trimestre del ejercicio.</w:t>
      </w:r>
    </w:p>
    <w:p w14:paraId="6179BFA0"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créditos que amparen compromisos de gasto del ejercicio anterior a que hace referencia el artículo 26.2.b) del Real Decreto 500/1990, de 20 de abril.</w:t>
      </w:r>
    </w:p>
    <w:p w14:paraId="16B9379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créditos de operaciones de capital.</w:t>
      </w:r>
    </w:p>
    <w:p w14:paraId="5A95725E"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créditos autorizados en función de la efectiva recaudación de los derechos afectados.</w:t>
      </w:r>
    </w:p>
    <w:p w14:paraId="32515EEF"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remanentes de crédito o saldos de crédito no afectados al cumplimiento de obligaciones reconocidas, ascienden a un total de «Informe I2» euros.</w:t>
      </w:r>
    </w:p>
    <w:p w14:paraId="1DC8C5D3" w14:textId="77777777" w:rsidR="00DF2897" w:rsidRDefault="00DF2897" w:rsidP="007A7481">
      <w:pPr>
        <w:jc w:val="both"/>
        <w:rPr>
          <w:rFonts w:ascii="Century Gothic" w:hAnsi="Century Gothic"/>
          <w:sz w:val="24"/>
          <w:szCs w:val="24"/>
        </w:rPr>
      </w:pPr>
    </w:p>
    <w:p w14:paraId="1D6B29F0" w14:textId="18F77BFC" w:rsidR="001E0A5F" w:rsidRPr="007A7481" w:rsidRDefault="007A7481" w:rsidP="007A7481">
      <w:pPr>
        <w:jc w:val="both"/>
        <w:rPr>
          <w:rFonts w:ascii="Century Gothic" w:hAnsi="Century Gothic"/>
          <w:sz w:val="24"/>
          <w:szCs w:val="24"/>
        </w:rPr>
      </w:pPr>
      <w:r>
        <w:rPr>
          <w:rFonts w:ascii="Century Gothic" w:hAnsi="Century Gothic"/>
          <w:sz w:val="24"/>
          <w:szCs w:val="24"/>
        </w:rPr>
        <w:t>8</w:t>
      </w:r>
      <w:r w:rsidR="00626BF8">
        <w:rPr>
          <w:rFonts w:ascii="Century Gothic" w:hAnsi="Century Gothic"/>
          <w:sz w:val="24"/>
          <w:szCs w:val="24"/>
        </w:rPr>
        <w:t>)</w:t>
      </w:r>
      <w:r w:rsidR="00BC1B5F" w:rsidRPr="007A7481">
        <w:rPr>
          <w:rFonts w:ascii="Century Gothic" w:hAnsi="Century Gothic"/>
          <w:sz w:val="24"/>
          <w:szCs w:val="24"/>
        </w:rPr>
        <w:t xml:space="preserve"> </w:t>
      </w:r>
      <w:r w:rsidR="001E0A5F" w:rsidRPr="007A7481">
        <w:rPr>
          <w:rFonts w:ascii="Century Gothic" w:hAnsi="Century Gothic"/>
          <w:sz w:val="24"/>
          <w:szCs w:val="24"/>
        </w:rPr>
        <w:t xml:space="preserve">Remanente de </w:t>
      </w:r>
      <w:r w:rsidR="00BC1B5F" w:rsidRPr="007A7481">
        <w:rPr>
          <w:rFonts w:ascii="Century Gothic" w:hAnsi="Century Gothic"/>
          <w:sz w:val="24"/>
          <w:szCs w:val="24"/>
        </w:rPr>
        <w:t>Tesorería</w:t>
      </w:r>
      <w:r w:rsidR="001E0A5F" w:rsidRPr="007A7481">
        <w:rPr>
          <w:rFonts w:ascii="Century Gothic" w:hAnsi="Century Gothic"/>
          <w:sz w:val="24"/>
          <w:szCs w:val="24"/>
        </w:rPr>
        <w:t>.</w:t>
      </w:r>
    </w:p>
    <w:p w14:paraId="76B3C80B" w14:textId="17B532D1"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El remanente de tesorería es una magnitud de carácter presupuestario que refleja un recurso para financiar gastos, si es positivo, y un déficit, si es negativo a 31 de diciembre.</w:t>
      </w:r>
    </w:p>
    <w:p w14:paraId="6A0E4A4D"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El remanente de tesorería estará integrado por:</w:t>
      </w:r>
    </w:p>
    <w:p w14:paraId="41455300"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Derechos pendientes de cobro.</w:t>
      </w:r>
    </w:p>
    <w:p w14:paraId="1B8DF77A"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Obligaciones pendientes de pago.</w:t>
      </w:r>
    </w:p>
    <w:p w14:paraId="305BB9F2"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Fondos líquidos.</w:t>
      </w:r>
    </w:p>
    <w:p w14:paraId="49F93C59"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Partidas pendientes de aplicación.</w:t>
      </w:r>
    </w:p>
    <w:p w14:paraId="798D0E7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Se obtiene como suma de los fondos líquidos más los derechos pendientes de cobro, deduciendo las obligaciones pendientes de pago y agregando las partidas pendientes de aplicación.</w:t>
      </w:r>
    </w:p>
    <w:p w14:paraId="3370561A"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fondos líquidos comprenderán:</w:t>
      </w:r>
    </w:p>
    <w:p w14:paraId="77A3F4E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Saldos disponibles de cajas de efectivo y cuentas bancarias.</w:t>
      </w:r>
    </w:p>
    <w:p w14:paraId="67F6B9AC"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lastRenderedPageBreak/>
        <w:t>Inversiones temporales en que se hayan materializado los excedentes temporales de tesorería que no tengan carácter presupuestario.</w:t>
      </w:r>
    </w:p>
    <w:p w14:paraId="7F3DFC95"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fondos líquidos a 31 de diciembre del ejercicio: «Informe J2» euros.</w:t>
      </w:r>
    </w:p>
    <w:p w14:paraId="080FDF10"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derechos pendientes de cobro comprenderán:</w:t>
      </w:r>
    </w:p>
    <w:p w14:paraId="63ED10E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Derechos pendientes de cobro del presupuesto corriente.</w:t>
      </w:r>
    </w:p>
    <w:p w14:paraId="18AE2837"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Derechos pendientes de cobro de presupuestos cerrados.</w:t>
      </w:r>
    </w:p>
    <w:p w14:paraId="6C498598"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Derechos pendientes de cobro correspondientes a cuentas de deudores que no sean presupuestarios.</w:t>
      </w:r>
    </w:p>
    <w:p w14:paraId="5B96FA39"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Los derechos pendientes de cobro a 31 de diciembre del ejercicio: «Informe K2» euros.</w:t>
      </w:r>
    </w:p>
    <w:p w14:paraId="4A0A4D06"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obligaciones pendientes de pago comprenderán:</w:t>
      </w:r>
    </w:p>
    <w:p w14:paraId="0839C3BD"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Obligaciones pendientes de pago del presupuesto corriente.</w:t>
      </w:r>
    </w:p>
    <w:p w14:paraId="2B16D3FF"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Obligaciones pendientes de pago de presupuestos cerrados.</w:t>
      </w:r>
    </w:p>
    <w:p w14:paraId="25CFA92B"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Obligaciones pendientes de pago correspondientes a cuentas de acreedores que no sean presupuestarios.</w:t>
      </w:r>
    </w:p>
    <w:p w14:paraId="2A998DB2"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obligaciones pendientes de pago a 31 de diciembre del ejercicio: «Informe L2» euros.</w:t>
      </w:r>
    </w:p>
    <w:p w14:paraId="5FDDAC8B"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partidas pendientes de aplicación definitiva estarán formadas por:</w:t>
      </w:r>
    </w:p>
    <w:p w14:paraId="56314A4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Cobros realizados pendientes de aplicación definitiva: «Informe M2» euros.</w:t>
      </w:r>
    </w:p>
    <w:p w14:paraId="3BFA7FD2"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Pagos realizados pendientes de aplicación definitiva: «Informe N2» euros.</w:t>
      </w:r>
    </w:p>
    <w:p w14:paraId="14067DD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Las partidas pendientes de aplicación a 31 de diciembre del ejercicio: «Informe O2» euros</w:t>
      </w:r>
    </w:p>
    <w:p w14:paraId="5815B5A8"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Así las cosas, el REMANENTE DE TESORERÍA TOTAL de la entidad local es de «Informe P2» euros.</w:t>
      </w:r>
    </w:p>
    <w:p w14:paraId="2A7CB618" w14:textId="77777777" w:rsidR="007A7481" w:rsidRDefault="007A7481" w:rsidP="007A7481">
      <w:pPr>
        <w:jc w:val="both"/>
        <w:rPr>
          <w:rFonts w:ascii="Century Gothic" w:hAnsi="Century Gothic"/>
          <w:sz w:val="24"/>
          <w:szCs w:val="24"/>
        </w:rPr>
      </w:pPr>
    </w:p>
    <w:p w14:paraId="65BBD704" w14:textId="0FD7FE18" w:rsidR="001E0A5F" w:rsidRPr="007A7481" w:rsidRDefault="007A7481" w:rsidP="007A7481">
      <w:pPr>
        <w:jc w:val="both"/>
        <w:rPr>
          <w:rFonts w:ascii="Century Gothic" w:hAnsi="Century Gothic"/>
          <w:sz w:val="24"/>
          <w:szCs w:val="24"/>
        </w:rPr>
      </w:pPr>
      <w:r>
        <w:rPr>
          <w:rFonts w:ascii="Century Gothic" w:hAnsi="Century Gothic"/>
          <w:sz w:val="24"/>
          <w:szCs w:val="24"/>
        </w:rPr>
        <w:t>9</w:t>
      </w:r>
      <w:r w:rsidR="00626BF8">
        <w:rPr>
          <w:rFonts w:ascii="Century Gothic" w:hAnsi="Century Gothic"/>
          <w:sz w:val="24"/>
          <w:szCs w:val="24"/>
        </w:rPr>
        <w:t>)</w:t>
      </w:r>
      <w:r w:rsidR="00BC1B5F" w:rsidRPr="007A7481">
        <w:rPr>
          <w:rFonts w:ascii="Century Gothic" w:hAnsi="Century Gothic"/>
          <w:sz w:val="24"/>
          <w:szCs w:val="24"/>
        </w:rPr>
        <w:t xml:space="preserve"> </w:t>
      </w:r>
      <w:r w:rsidR="001E0A5F" w:rsidRPr="007A7481">
        <w:rPr>
          <w:rFonts w:ascii="Century Gothic" w:hAnsi="Century Gothic"/>
          <w:sz w:val="24"/>
          <w:szCs w:val="24"/>
        </w:rPr>
        <w:t>Ajustes</w:t>
      </w:r>
      <w:r>
        <w:rPr>
          <w:rFonts w:ascii="Century Gothic" w:hAnsi="Century Gothic"/>
          <w:sz w:val="24"/>
          <w:szCs w:val="24"/>
        </w:rPr>
        <w:t xml:space="preserve"> al Remanente de Tesorería</w:t>
      </w:r>
      <w:r w:rsidR="001E0A5F" w:rsidRPr="007A7481">
        <w:rPr>
          <w:rFonts w:ascii="Century Gothic" w:hAnsi="Century Gothic"/>
          <w:sz w:val="24"/>
          <w:szCs w:val="24"/>
        </w:rPr>
        <w:t>.</w:t>
      </w:r>
    </w:p>
    <w:p w14:paraId="53E6DC1A" w14:textId="3FCAE4E4"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lastRenderedPageBreak/>
        <w:t>Asimismo, y de conformidad con lo dispuesto en el artículo 103 del Real Decreto 500/1990, de 20 de abril por el que se desarrolla el capítulo primero del título sexto de la Ley 39/1988, de 28 de diciembre, reguladora de las Haciendas Locales en materia de presupuestos y, en la ICAL, del remanente de tesorería total habrá que deducir los derechos pendientes de cobro que se consideren de difícil o imposible recaudación y, el exceso de financiación afectada producido.</w:t>
      </w:r>
    </w:p>
    <w:p w14:paraId="5A96A4C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En cuanto al cálculo de los derechos de difícil o imposible recaudación se podrá realizar de manera individualizada o mediante la fijación de un porcentaje a tanto alzado.</w:t>
      </w:r>
    </w:p>
    <w:p w14:paraId="603BCC71"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Así las cosas, los derechos pendientes de cobro de difícil o imposible aplicación a 31/12 son de «Informes Q2» euros.</w:t>
      </w:r>
    </w:p>
    <w:p w14:paraId="711EF1B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Respecto al exceso de financiación afectada producido el mismo, está constituido por la suma de las desviaciones de financiación positivas acumuladas a fin de ejercicio.</w:t>
      </w:r>
    </w:p>
    <w:p w14:paraId="4B2B5A63"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De este modo, el exceso de financiación afectada producido a 31 de diciembre del ejercicio es «Informes R2» euros.</w:t>
      </w:r>
    </w:p>
    <w:p w14:paraId="5937534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Una vez descontado del remanente de tesorería los derechos pendientes de cobro de difícil o imposible aplicación, así como, el exceso de financiación afectada obtenemos el REMANENTE DE TESORERÍA PARA GASTOS GENERALES que en el presente caso obtiene el siguiente resultado: «Informe S2» euros.</w:t>
      </w:r>
    </w:p>
    <w:p w14:paraId="18E63469" w14:textId="77777777" w:rsidR="007A7481" w:rsidRDefault="007A7481" w:rsidP="007A7481">
      <w:pPr>
        <w:jc w:val="both"/>
        <w:rPr>
          <w:rFonts w:ascii="Century Gothic" w:hAnsi="Century Gothic"/>
          <w:sz w:val="24"/>
          <w:szCs w:val="24"/>
        </w:rPr>
      </w:pPr>
    </w:p>
    <w:p w14:paraId="6EA90140" w14:textId="478375E2" w:rsidR="001E0A5F" w:rsidRPr="007A7481" w:rsidRDefault="007A7481" w:rsidP="007A7481">
      <w:pPr>
        <w:jc w:val="both"/>
        <w:rPr>
          <w:rFonts w:ascii="Century Gothic" w:hAnsi="Century Gothic"/>
          <w:sz w:val="24"/>
          <w:szCs w:val="24"/>
        </w:rPr>
      </w:pPr>
      <w:r>
        <w:rPr>
          <w:rFonts w:ascii="Century Gothic" w:hAnsi="Century Gothic"/>
          <w:sz w:val="24"/>
          <w:szCs w:val="24"/>
        </w:rPr>
        <w:t>10</w:t>
      </w:r>
      <w:r w:rsidR="00626BF8">
        <w:rPr>
          <w:rFonts w:ascii="Century Gothic" w:hAnsi="Century Gothic"/>
          <w:sz w:val="24"/>
          <w:szCs w:val="24"/>
        </w:rPr>
        <w:t>)</w:t>
      </w:r>
      <w:r w:rsidR="00BC1B5F" w:rsidRPr="007A7481">
        <w:rPr>
          <w:rFonts w:ascii="Century Gothic" w:hAnsi="Century Gothic"/>
          <w:sz w:val="24"/>
          <w:szCs w:val="24"/>
        </w:rPr>
        <w:t xml:space="preserve"> </w:t>
      </w:r>
      <w:r w:rsidR="001E0A5F" w:rsidRPr="007A7481">
        <w:rPr>
          <w:rFonts w:ascii="Century Gothic" w:hAnsi="Century Gothic"/>
          <w:sz w:val="24"/>
          <w:szCs w:val="24"/>
        </w:rPr>
        <w:t>Remisión</w:t>
      </w:r>
      <w:r>
        <w:rPr>
          <w:rFonts w:ascii="Century Gothic" w:hAnsi="Century Gothic"/>
          <w:sz w:val="24"/>
          <w:szCs w:val="24"/>
        </w:rPr>
        <w:t>.</w:t>
      </w:r>
    </w:p>
    <w:p w14:paraId="3A824699" w14:textId="46B09666" w:rsidR="002D6E85" w:rsidRPr="007A7481" w:rsidRDefault="00527A6D" w:rsidP="007A7481">
      <w:pPr>
        <w:jc w:val="both"/>
        <w:rPr>
          <w:rFonts w:ascii="Century Gothic" w:hAnsi="Century Gothic"/>
          <w:sz w:val="24"/>
          <w:szCs w:val="24"/>
        </w:rPr>
      </w:pPr>
      <w:r w:rsidRPr="007A7481">
        <w:rPr>
          <w:rFonts w:ascii="Century Gothic" w:hAnsi="Century Gothic"/>
          <w:sz w:val="24"/>
          <w:szCs w:val="24"/>
        </w:rPr>
        <w:t xml:space="preserve">Se ha de cumplir la obligación de remisión al Ministerio de Hacienda de toda la información relativa a la liquidación de sus respectivos presupuestos de cada ejercicio en el plazo máximo permitido para ello, pues de no hacerlo, tendría como consecuencia la aplicación de retenciones al importe de las entregas a cuenta y, en su caso, anticipos y liquidaciones definitivas de la participación en los tributos del Estado (PTE) que corresponda, a partir del mes de junio del ejercicio siguiente al que corresponda aquella liquidación y hasta que se produzca la remisión, de </w:t>
      </w:r>
      <w:r w:rsidRPr="007A7481">
        <w:rPr>
          <w:rFonts w:ascii="Century Gothic" w:hAnsi="Century Gothic"/>
          <w:sz w:val="24"/>
          <w:szCs w:val="24"/>
        </w:rPr>
        <w:lastRenderedPageBreak/>
        <w:t>acuerdo con lo dispuesto por el artículo 36.1 de la Ley 2/2011, de 4 de marzo, de Economía Sostenible.</w:t>
      </w:r>
    </w:p>
    <w:p w14:paraId="32DB2ED4" w14:textId="77777777" w:rsidR="002D6E85" w:rsidRPr="007A7481" w:rsidRDefault="00000000" w:rsidP="007A7481">
      <w:pPr>
        <w:jc w:val="both"/>
        <w:rPr>
          <w:rFonts w:ascii="Century Gothic" w:hAnsi="Century Gothic"/>
          <w:sz w:val="24"/>
          <w:szCs w:val="24"/>
        </w:rPr>
      </w:pPr>
      <w:r w:rsidRPr="007A7481">
        <w:rPr>
          <w:rFonts w:ascii="Century Gothic" w:hAnsi="Century Gothic"/>
          <w:sz w:val="24"/>
          <w:szCs w:val="24"/>
        </w:rPr>
        <w:t>Por todo lo indicado se informa en sentido Favorable la Liquidación del Presupuesto.</w:t>
      </w:r>
    </w:p>
    <w:sectPr w:rsidR="002D6E85" w:rsidRPr="007A74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3640D4B"/>
    <w:multiLevelType w:val="hybridMultilevel"/>
    <w:tmpl w:val="035E6C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0202721">
    <w:abstractNumId w:val="8"/>
  </w:num>
  <w:num w:numId="2" w16cid:durableId="904950644">
    <w:abstractNumId w:val="6"/>
  </w:num>
  <w:num w:numId="3" w16cid:durableId="1295521673">
    <w:abstractNumId w:val="5"/>
  </w:num>
  <w:num w:numId="4" w16cid:durableId="466824015">
    <w:abstractNumId w:val="4"/>
  </w:num>
  <w:num w:numId="5" w16cid:durableId="2117213877">
    <w:abstractNumId w:val="7"/>
  </w:num>
  <w:num w:numId="6" w16cid:durableId="878514973">
    <w:abstractNumId w:val="3"/>
  </w:num>
  <w:num w:numId="7" w16cid:durableId="1877309834">
    <w:abstractNumId w:val="2"/>
  </w:num>
  <w:num w:numId="8" w16cid:durableId="58407087">
    <w:abstractNumId w:val="1"/>
  </w:num>
  <w:num w:numId="9" w16cid:durableId="1851797855">
    <w:abstractNumId w:val="0"/>
  </w:num>
  <w:num w:numId="10" w16cid:durableId="1451507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0A5F"/>
    <w:rsid w:val="001E0E4C"/>
    <w:rsid w:val="001E12F7"/>
    <w:rsid w:val="0023227D"/>
    <w:rsid w:val="0024629B"/>
    <w:rsid w:val="0029639D"/>
    <w:rsid w:val="002D0AED"/>
    <w:rsid w:val="002D6E85"/>
    <w:rsid w:val="002E396C"/>
    <w:rsid w:val="00326F90"/>
    <w:rsid w:val="00375B0B"/>
    <w:rsid w:val="00442E7F"/>
    <w:rsid w:val="004E6B42"/>
    <w:rsid w:val="00511ECD"/>
    <w:rsid w:val="00527A6D"/>
    <w:rsid w:val="00586795"/>
    <w:rsid w:val="00626BF8"/>
    <w:rsid w:val="006958D8"/>
    <w:rsid w:val="006E2F64"/>
    <w:rsid w:val="007A7481"/>
    <w:rsid w:val="00AA1D8D"/>
    <w:rsid w:val="00AF0393"/>
    <w:rsid w:val="00B47730"/>
    <w:rsid w:val="00BC1B5F"/>
    <w:rsid w:val="00CB0664"/>
    <w:rsid w:val="00DF28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F5767"/>
  <w14:defaultImageDpi w14:val="300"/>
  <w15:docId w15:val="{6B26DB4F-4337-4F9E-A5B4-E47D68E4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_tradn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1762</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powerbi ITS Duero S.L.</cp:lastModifiedBy>
  <cp:revision>12</cp:revision>
  <dcterms:created xsi:type="dcterms:W3CDTF">2025-05-26T06:21:00Z</dcterms:created>
  <dcterms:modified xsi:type="dcterms:W3CDTF">2025-05-26T07:04:00Z</dcterms:modified>
  <cp:category/>
</cp:coreProperties>
</file>