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68BD" w14:textId="2F8BC9D6" w:rsidR="00FB4834" w:rsidRPr="00E67D12" w:rsidRDefault="00000000">
      <w:pPr>
        <w:spacing w:after="0" w:line="259" w:lineRule="auto"/>
        <w:ind w:left="0" w:right="0" w:firstLine="0"/>
        <w:jc w:val="left"/>
        <w:rPr>
          <w:sz w:val="24"/>
        </w:rPr>
      </w:pPr>
      <w:r w:rsidRPr="00E67D12">
        <w:rPr>
          <w:sz w:val="24"/>
        </w:rPr>
        <w:t xml:space="preserve"> </w:t>
      </w:r>
    </w:p>
    <w:p w14:paraId="6084F8FE" w14:textId="34AA79FD" w:rsidR="00FB4834" w:rsidRPr="00E67D12" w:rsidRDefault="00FB4834">
      <w:pPr>
        <w:spacing w:after="9" w:line="259" w:lineRule="auto"/>
        <w:ind w:left="-29" w:right="0" w:firstLine="0"/>
        <w:jc w:val="left"/>
        <w:rPr>
          <w:sz w:val="24"/>
        </w:rPr>
      </w:pPr>
    </w:p>
    <w:p w14:paraId="68511C69" w14:textId="77777777" w:rsidR="00FB4834" w:rsidRPr="00E67D12" w:rsidRDefault="00000000">
      <w:pPr>
        <w:spacing w:after="17" w:line="259" w:lineRule="auto"/>
        <w:ind w:left="0" w:right="0" w:firstLine="0"/>
        <w:jc w:val="left"/>
        <w:rPr>
          <w:sz w:val="24"/>
        </w:rPr>
      </w:pPr>
      <w:r w:rsidRPr="00E67D12">
        <w:rPr>
          <w:sz w:val="24"/>
        </w:rPr>
        <w:t xml:space="preserve"> </w:t>
      </w:r>
    </w:p>
    <w:p w14:paraId="0ABBD6D1" w14:textId="77777777" w:rsidR="00FB4834" w:rsidRPr="008C73E1" w:rsidRDefault="00000000">
      <w:pPr>
        <w:spacing w:after="55" w:line="259" w:lineRule="auto"/>
        <w:ind w:left="0" w:right="0" w:firstLine="0"/>
        <w:jc w:val="left"/>
        <w:rPr>
          <w:sz w:val="24"/>
        </w:rPr>
      </w:pPr>
      <w:r w:rsidRPr="00E67D12">
        <w:rPr>
          <w:sz w:val="24"/>
        </w:rPr>
        <w:t xml:space="preserve"> </w:t>
      </w:r>
    </w:p>
    <w:p w14:paraId="632CCE44" w14:textId="489D6B00" w:rsidR="00FB4834" w:rsidRPr="008C73E1" w:rsidRDefault="00000000">
      <w:pPr>
        <w:spacing w:after="55" w:line="259" w:lineRule="auto"/>
        <w:ind w:left="0" w:right="43" w:firstLine="0"/>
        <w:jc w:val="center"/>
        <w:rPr>
          <w:sz w:val="24"/>
        </w:rPr>
      </w:pPr>
      <w:r w:rsidRPr="008C73E1">
        <w:rPr>
          <w:sz w:val="24"/>
        </w:rPr>
        <w:t>INFORME DE INTERVENCIÓN DE MODIFICACIÓN</w:t>
      </w:r>
      <w:r w:rsidR="00EF2E8D" w:rsidRPr="008C73E1">
        <w:rPr>
          <w:sz w:val="24"/>
        </w:rPr>
        <w:t xml:space="preserve"> PRESUPUESTARIA</w:t>
      </w:r>
      <w:r w:rsidRPr="008C73E1">
        <w:rPr>
          <w:sz w:val="24"/>
        </w:rPr>
        <w:t xml:space="preserve"> </w:t>
      </w:r>
    </w:p>
    <w:p w14:paraId="48F1E556" w14:textId="4E2F86F5" w:rsidR="00FB4834" w:rsidRPr="008C73E1" w:rsidRDefault="00000000">
      <w:pPr>
        <w:spacing w:after="52" w:line="259" w:lineRule="auto"/>
        <w:ind w:left="0" w:right="0" w:firstLine="0"/>
        <w:jc w:val="left"/>
        <w:rPr>
          <w:sz w:val="24"/>
        </w:rPr>
      </w:pPr>
      <w:r w:rsidRPr="008C73E1">
        <w:rPr>
          <w:sz w:val="24"/>
        </w:rPr>
        <w:t xml:space="preserve"> </w:t>
      </w:r>
    </w:p>
    <w:p w14:paraId="01538BC3" w14:textId="77777777" w:rsidR="007D341C" w:rsidRPr="008C73E1" w:rsidRDefault="007D341C">
      <w:pPr>
        <w:spacing w:after="52" w:line="259" w:lineRule="auto"/>
        <w:ind w:left="0" w:right="0" w:firstLine="0"/>
        <w:jc w:val="left"/>
        <w:rPr>
          <w:sz w:val="24"/>
        </w:rPr>
      </w:pPr>
    </w:p>
    <w:p w14:paraId="02F7FDE5" w14:textId="714A512B" w:rsidR="00FB4834" w:rsidRPr="008C73E1" w:rsidRDefault="00000000" w:rsidP="00E67D12">
      <w:pPr>
        <w:ind w:left="-5" w:right="29" w:firstLine="147"/>
        <w:rPr>
          <w:sz w:val="24"/>
        </w:rPr>
      </w:pPr>
      <w:r w:rsidRPr="008C73E1">
        <w:rPr>
          <w:sz w:val="24"/>
        </w:rPr>
        <w:t xml:space="preserve"> </w:t>
      </w:r>
      <w:r w:rsidR="00EF2E8D" w:rsidRPr="008C73E1">
        <w:rPr>
          <w:sz w:val="24"/>
        </w:rPr>
        <w:t>A</w:t>
      </w:r>
      <w:r w:rsidRPr="008C73E1">
        <w:rPr>
          <w:sz w:val="24"/>
        </w:rPr>
        <w:t xml:space="preserve"> la vista de la incoación del expediente de Modificación Presupuestaria </w:t>
      </w:r>
      <w:r w:rsidR="00EF2E8D" w:rsidRPr="008C73E1">
        <w:rPr>
          <w:sz w:val="24"/>
        </w:rPr>
        <w:t>incoado</w:t>
      </w:r>
      <w:r w:rsidRPr="008C73E1">
        <w:rPr>
          <w:sz w:val="24"/>
        </w:rPr>
        <w:t xml:space="preserve"> y en virtud de lo dispuesto en el apartado 2º del artículo </w:t>
      </w:r>
      <w:proofErr w:type="spellStart"/>
      <w:r w:rsidRPr="008C73E1">
        <w:rPr>
          <w:sz w:val="24"/>
        </w:rPr>
        <w:t>4.1.b</w:t>
      </w:r>
      <w:proofErr w:type="spellEnd"/>
      <w:r w:rsidRPr="008C73E1">
        <w:rPr>
          <w:sz w:val="24"/>
        </w:rPr>
        <w:t xml:space="preserve">) del Real Decreto 128/2018, de 16 de marzo, por el que se regula el régimen jurídico de los funcionarios de Administración Local con habilitación de carácter nacional, así como lo establecido en las Bases de Ejecución del Presupuesto, INFORMO: </w:t>
      </w:r>
    </w:p>
    <w:p w14:paraId="7ED3F202" w14:textId="754747E7" w:rsidR="00FB4834" w:rsidRPr="008C73E1" w:rsidRDefault="00FB4834" w:rsidP="00E67D12">
      <w:pPr>
        <w:spacing w:after="55" w:line="259" w:lineRule="auto"/>
        <w:ind w:left="0" w:right="0" w:firstLine="147"/>
        <w:jc w:val="left"/>
        <w:rPr>
          <w:sz w:val="24"/>
        </w:rPr>
      </w:pPr>
    </w:p>
    <w:p w14:paraId="64A010D7" w14:textId="3E3E7081" w:rsidR="003B1448" w:rsidRPr="008C73E1" w:rsidRDefault="008C73E1" w:rsidP="008C73E1">
      <w:pPr>
        <w:ind w:right="29"/>
        <w:rPr>
          <w:sz w:val="24"/>
        </w:rPr>
      </w:pPr>
      <w:r w:rsidRPr="008C73E1">
        <w:rPr>
          <w:sz w:val="24"/>
        </w:rPr>
        <w:t xml:space="preserve">1.- </w:t>
      </w:r>
      <w:r w:rsidR="003B1448" w:rsidRPr="008C73E1">
        <w:rPr>
          <w:sz w:val="24"/>
        </w:rPr>
        <w:t>Regulación.</w:t>
      </w:r>
    </w:p>
    <w:p w14:paraId="4D6C0303" w14:textId="77777777" w:rsidR="003B1448" w:rsidRPr="008C73E1" w:rsidRDefault="003B1448" w:rsidP="00E67D12">
      <w:pPr>
        <w:ind w:right="29" w:firstLine="147"/>
        <w:rPr>
          <w:sz w:val="24"/>
        </w:rPr>
      </w:pPr>
    </w:p>
    <w:p w14:paraId="23F8434C" w14:textId="499A48B7" w:rsidR="00FB4834" w:rsidRPr="008C73E1" w:rsidRDefault="003B1448" w:rsidP="00E67D12">
      <w:pPr>
        <w:ind w:right="29" w:firstLine="147"/>
        <w:rPr>
          <w:sz w:val="24"/>
        </w:rPr>
      </w:pPr>
      <w:r w:rsidRPr="008C73E1">
        <w:rPr>
          <w:sz w:val="24"/>
        </w:rPr>
        <w:t xml:space="preserve">Los artículos </w:t>
      </w:r>
      <w:r w:rsidR="007D341C" w:rsidRPr="008C73E1">
        <w:rPr>
          <w:sz w:val="24"/>
        </w:rPr>
        <w:t xml:space="preserve">177 a </w:t>
      </w:r>
      <w:r w:rsidRPr="008C73E1">
        <w:rPr>
          <w:sz w:val="24"/>
        </w:rPr>
        <w:t xml:space="preserve">182 del Real Decreto 2/2004, de 5 de marzo, por el que se aprueba el Texto Refundido de la Ley Reguladora de las Haciendas Locales, </w:t>
      </w:r>
      <w:r w:rsidR="007D341C" w:rsidRPr="008C73E1">
        <w:rPr>
          <w:sz w:val="24"/>
        </w:rPr>
        <w:t>34 a 51</w:t>
      </w:r>
      <w:r w:rsidRPr="008C73E1">
        <w:rPr>
          <w:sz w:val="24"/>
        </w:rPr>
        <w:t xml:space="preserve"> del Real Decreto 500/1990, de 20 de abril, y las Bases de Ejecución del Presupuesto vigente, regula la</w:t>
      </w:r>
      <w:r w:rsidR="00CE03C3">
        <w:rPr>
          <w:sz w:val="24"/>
        </w:rPr>
        <w:t>s modificaciones de crédito</w:t>
      </w:r>
      <w:r w:rsidRPr="008C73E1">
        <w:rPr>
          <w:sz w:val="24"/>
        </w:rPr>
        <w:t xml:space="preserve">, </w:t>
      </w:r>
      <w:r w:rsidR="000B6752">
        <w:rPr>
          <w:sz w:val="24"/>
        </w:rPr>
        <w:t xml:space="preserve">en concreto en su modalidad de </w:t>
      </w:r>
      <w:r w:rsidR="00196C62">
        <w:rPr>
          <w:sz w:val="24"/>
        </w:rPr>
        <w:t>[</w:t>
      </w:r>
      <w:proofErr w:type="spellStart"/>
      <w:r w:rsidR="000B6752">
        <w:rPr>
          <w:sz w:val="24"/>
        </w:rPr>
        <w:t>Tipo_Mod</w:t>
      </w:r>
      <w:proofErr w:type="spellEnd"/>
      <w:r w:rsidR="00196C62">
        <w:rPr>
          <w:sz w:val="24"/>
        </w:rPr>
        <w:t>]</w:t>
      </w:r>
      <w:r w:rsidR="000B6752">
        <w:rPr>
          <w:sz w:val="24"/>
        </w:rPr>
        <w:t xml:space="preserve">, </w:t>
      </w:r>
      <w:r w:rsidRPr="008C73E1">
        <w:rPr>
          <w:sz w:val="24"/>
        </w:rPr>
        <w:t xml:space="preserve">estableciendo los requisitos que deben cumplirse y el trámite a seguir para su aprobación. </w:t>
      </w:r>
    </w:p>
    <w:p w14:paraId="3932B524" w14:textId="29A3D585" w:rsidR="007D341C" w:rsidRPr="008C73E1" w:rsidRDefault="00000000" w:rsidP="00E67D12">
      <w:pPr>
        <w:spacing w:after="55" w:line="259" w:lineRule="auto"/>
        <w:ind w:left="0" w:right="0" w:firstLine="147"/>
        <w:jc w:val="left"/>
        <w:rPr>
          <w:sz w:val="24"/>
        </w:rPr>
      </w:pPr>
      <w:r w:rsidRPr="008C73E1">
        <w:rPr>
          <w:sz w:val="24"/>
        </w:rPr>
        <w:t xml:space="preserve"> </w:t>
      </w:r>
    </w:p>
    <w:p w14:paraId="774F6A39" w14:textId="7E187E5B" w:rsidR="003B1448" w:rsidRPr="008C73E1" w:rsidRDefault="008C73E1" w:rsidP="008C73E1">
      <w:pPr>
        <w:ind w:right="29"/>
        <w:rPr>
          <w:sz w:val="24"/>
        </w:rPr>
      </w:pPr>
      <w:r w:rsidRPr="008C73E1">
        <w:rPr>
          <w:sz w:val="24"/>
        </w:rPr>
        <w:t xml:space="preserve">2.- </w:t>
      </w:r>
      <w:r w:rsidR="003B1448" w:rsidRPr="008C73E1">
        <w:rPr>
          <w:sz w:val="24"/>
        </w:rPr>
        <w:t>Financiación.</w:t>
      </w:r>
    </w:p>
    <w:p w14:paraId="7AC67F8B" w14:textId="77777777" w:rsidR="003B1448" w:rsidRPr="008C73E1" w:rsidRDefault="003B1448" w:rsidP="00E67D12">
      <w:pPr>
        <w:ind w:left="-5" w:right="29" w:firstLine="147"/>
        <w:rPr>
          <w:sz w:val="24"/>
        </w:rPr>
      </w:pPr>
    </w:p>
    <w:p w14:paraId="0CAEFBDF" w14:textId="53C3D351" w:rsidR="00FB4834" w:rsidRPr="008C73E1" w:rsidRDefault="00000000" w:rsidP="00E67D12">
      <w:pPr>
        <w:ind w:left="-5" w:right="29" w:firstLine="147"/>
        <w:rPr>
          <w:sz w:val="24"/>
        </w:rPr>
      </w:pPr>
      <w:r w:rsidRPr="008C73E1">
        <w:rPr>
          <w:sz w:val="24"/>
        </w:rPr>
        <w:t>Las aplicaciones propuestas por la Presidencia</w:t>
      </w:r>
      <w:r w:rsidR="00DE3D77" w:rsidRPr="008C73E1">
        <w:rPr>
          <w:sz w:val="24"/>
        </w:rPr>
        <w:t>,</w:t>
      </w:r>
      <w:r w:rsidRPr="008C73E1">
        <w:rPr>
          <w:sz w:val="24"/>
        </w:rPr>
        <w:t xml:space="preserve"> en la Providencia de Incoación, y debidamente certificadas en la contabilidad, para ser objeto de la </w:t>
      </w:r>
      <w:r w:rsidR="00CE03C3">
        <w:rPr>
          <w:sz w:val="24"/>
        </w:rPr>
        <w:t>modificación de crédito</w:t>
      </w:r>
      <w:r w:rsidRPr="008C73E1">
        <w:rPr>
          <w:sz w:val="24"/>
        </w:rPr>
        <w:t xml:space="preserve">, son las siguientes, por </w:t>
      </w:r>
      <w:r w:rsidR="001723D7" w:rsidRPr="008C73E1">
        <w:rPr>
          <w:sz w:val="24"/>
        </w:rPr>
        <w:t>un total</w:t>
      </w:r>
      <w:r w:rsidRPr="008C73E1">
        <w:rPr>
          <w:sz w:val="24"/>
        </w:rPr>
        <w:t xml:space="preserve"> </w:t>
      </w:r>
      <w:r w:rsidR="001723D7" w:rsidRPr="008C73E1">
        <w:rPr>
          <w:sz w:val="24"/>
        </w:rPr>
        <w:t>de euros</w:t>
      </w:r>
      <w:r w:rsidRPr="008C73E1">
        <w:rPr>
          <w:sz w:val="24"/>
        </w:rPr>
        <w:t xml:space="preserve">: </w:t>
      </w:r>
    </w:p>
    <w:p w14:paraId="086D37F2" w14:textId="77777777" w:rsidR="007D341C" w:rsidRPr="008C73E1" w:rsidRDefault="007D341C" w:rsidP="00E67D12">
      <w:pPr>
        <w:spacing w:after="0" w:line="259" w:lineRule="auto"/>
        <w:ind w:left="0" w:right="0" w:firstLine="147"/>
        <w:jc w:val="left"/>
        <w:rPr>
          <w:sz w:val="24"/>
        </w:rPr>
      </w:pPr>
    </w:p>
    <w:p w14:paraId="425F07D1" w14:textId="60C9BB4E" w:rsidR="000E2AD5" w:rsidRPr="008C73E1" w:rsidRDefault="00196C62" w:rsidP="000E2AD5">
      <w:pPr>
        <w:spacing w:after="0" w:line="259" w:lineRule="auto"/>
        <w:ind w:left="0" w:right="0" w:firstLine="0"/>
        <w:jc w:val="center"/>
        <w:rPr>
          <w:sz w:val="24"/>
        </w:rPr>
      </w:pPr>
      <w:r>
        <w:rPr>
          <w:sz w:val="24"/>
        </w:rPr>
        <w:t>[</w:t>
      </w:r>
      <w:proofErr w:type="spellStart"/>
      <w:r w:rsidR="004D2BA1">
        <w:rPr>
          <w:sz w:val="24"/>
        </w:rPr>
        <w:t>Tabla_Recursos</w:t>
      </w:r>
      <w:proofErr w:type="spellEnd"/>
      <w:r>
        <w:rPr>
          <w:sz w:val="24"/>
        </w:rPr>
        <w:t>]</w:t>
      </w:r>
    </w:p>
    <w:p w14:paraId="4219B210" w14:textId="52BBA96D" w:rsidR="00FB4834" w:rsidRPr="008C73E1" w:rsidRDefault="00FB4834" w:rsidP="003B1448">
      <w:pPr>
        <w:spacing w:after="0" w:line="259" w:lineRule="auto"/>
        <w:ind w:left="0" w:right="0" w:firstLine="0"/>
        <w:jc w:val="center"/>
        <w:rPr>
          <w:sz w:val="24"/>
        </w:rPr>
      </w:pPr>
    </w:p>
    <w:p w14:paraId="6ED0F351" w14:textId="241A8D1A" w:rsidR="00FB4834" w:rsidRPr="008C73E1" w:rsidRDefault="00FB4834">
      <w:pPr>
        <w:spacing w:after="55" w:line="259" w:lineRule="auto"/>
        <w:ind w:left="0" w:right="0" w:firstLine="0"/>
        <w:jc w:val="left"/>
        <w:rPr>
          <w:sz w:val="24"/>
        </w:rPr>
      </w:pPr>
    </w:p>
    <w:p w14:paraId="2A46A052" w14:textId="7C9FC1C1" w:rsidR="003B1448" w:rsidRPr="008C73E1" w:rsidRDefault="008C73E1" w:rsidP="008C73E1">
      <w:pPr>
        <w:ind w:right="29"/>
        <w:rPr>
          <w:sz w:val="24"/>
        </w:rPr>
      </w:pPr>
      <w:r w:rsidRPr="008C73E1">
        <w:rPr>
          <w:sz w:val="24"/>
        </w:rPr>
        <w:t xml:space="preserve">3.- </w:t>
      </w:r>
      <w:r w:rsidR="003B1448" w:rsidRPr="008C73E1">
        <w:rPr>
          <w:sz w:val="24"/>
        </w:rPr>
        <w:t>Gasto a Incrementar.</w:t>
      </w:r>
    </w:p>
    <w:p w14:paraId="62C777C6" w14:textId="77777777" w:rsidR="003B1448" w:rsidRPr="008C73E1" w:rsidRDefault="003B1448" w:rsidP="00E67D12">
      <w:pPr>
        <w:ind w:left="-5" w:right="29" w:firstLine="147"/>
        <w:rPr>
          <w:sz w:val="24"/>
        </w:rPr>
      </w:pPr>
    </w:p>
    <w:p w14:paraId="61134CA8" w14:textId="72813B29" w:rsidR="00FB4834" w:rsidRPr="008C73E1" w:rsidRDefault="001723D7" w:rsidP="00E67D12">
      <w:pPr>
        <w:ind w:left="-5" w:right="29" w:firstLine="147"/>
        <w:rPr>
          <w:sz w:val="24"/>
        </w:rPr>
      </w:pPr>
      <w:r w:rsidRPr="008C73E1">
        <w:rPr>
          <w:sz w:val="24"/>
        </w:rPr>
        <w:t xml:space="preserve">Para financiar la modificación presupuestaria, se cuenta con los siguientes recursos: </w:t>
      </w:r>
    </w:p>
    <w:p w14:paraId="3C70A7F7" w14:textId="2ACCD2AE" w:rsidR="00FB4834" w:rsidRPr="008C73E1" w:rsidRDefault="00FB4834" w:rsidP="00E67D12">
      <w:pPr>
        <w:spacing w:after="0" w:line="259" w:lineRule="auto"/>
        <w:ind w:left="0" w:right="0" w:firstLine="147"/>
        <w:jc w:val="left"/>
        <w:rPr>
          <w:sz w:val="24"/>
        </w:rPr>
      </w:pPr>
    </w:p>
    <w:p w14:paraId="63F81D5E" w14:textId="138900B5" w:rsidR="000E2AD5" w:rsidRPr="008C73E1" w:rsidRDefault="00196C62" w:rsidP="000E2AD5">
      <w:pPr>
        <w:spacing w:after="0" w:line="259" w:lineRule="auto"/>
        <w:ind w:left="0" w:right="0" w:firstLine="0"/>
        <w:jc w:val="center"/>
        <w:rPr>
          <w:sz w:val="24"/>
        </w:rPr>
      </w:pPr>
      <w:r>
        <w:rPr>
          <w:sz w:val="24"/>
        </w:rPr>
        <w:t>[</w:t>
      </w:r>
      <w:proofErr w:type="spellStart"/>
      <w:r w:rsidR="004D2BA1">
        <w:rPr>
          <w:sz w:val="24"/>
        </w:rPr>
        <w:t>Tabla_Gastos</w:t>
      </w:r>
      <w:proofErr w:type="spellEnd"/>
      <w:r>
        <w:rPr>
          <w:sz w:val="24"/>
        </w:rPr>
        <w:t>]</w:t>
      </w:r>
    </w:p>
    <w:p w14:paraId="082D008A" w14:textId="408B826E" w:rsidR="007D341C" w:rsidRPr="008C73E1" w:rsidRDefault="007D341C" w:rsidP="003B1448">
      <w:pPr>
        <w:spacing w:after="55" w:line="259" w:lineRule="auto"/>
        <w:ind w:left="0" w:right="0" w:firstLine="0"/>
        <w:jc w:val="center"/>
        <w:rPr>
          <w:sz w:val="24"/>
        </w:rPr>
      </w:pPr>
    </w:p>
    <w:p w14:paraId="28E4C8AB" w14:textId="6107ED71" w:rsidR="00FB4834" w:rsidRPr="008C73E1" w:rsidRDefault="00000000">
      <w:pPr>
        <w:spacing w:after="55" w:line="259" w:lineRule="auto"/>
        <w:ind w:left="0" w:right="0" w:firstLine="0"/>
        <w:jc w:val="left"/>
        <w:rPr>
          <w:sz w:val="24"/>
        </w:rPr>
      </w:pPr>
      <w:r w:rsidRPr="008C73E1">
        <w:rPr>
          <w:sz w:val="24"/>
        </w:rPr>
        <w:t xml:space="preserve"> </w:t>
      </w:r>
    </w:p>
    <w:p w14:paraId="69876ABE" w14:textId="43178349" w:rsidR="00FB4834" w:rsidRPr="00E67D12" w:rsidRDefault="00FB4834" w:rsidP="00DE3D77">
      <w:pPr>
        <w:spacing w:after="55" w:line="259" w:lineRule="auto"/>
        <w:ind w:left="0" w:right="0" w:firstLine="0"/>
        <w:jc w:val="left"/>
        <w:rPr>
          <w:sz w:val="24"/>
        </w:rPr>
      </w:pPr>
    </w:p>
    <w:p w14:paraId="0B323770" w14:textId="302C0742" w:rsidR="00FB4834" w:rsidRPr="00E67D12" w:rsidRDefault="00000000" w:rsidP="00A21E13">
      <w:pPr>
        <w:spacing w:after="0" w:line="259" w:lineRule="auto"/>
        <w:ind w:left="0" w:right="0" w:firstLine="0"/>
        <w:jc w:val="center"/>
        <w:rPr>
          <w:sz w:val="24"/>
        </w:rPr>
      </w:pPr>
      <w:r w:rsidRPr="00E67D12">
        <w:rPr>
          <w:b/>
          <w:sz w:val="24"/>
        </w:rPr>
        <w:t xml:space="preserve">CONCLUSIÓN: </w:t>
      </w:r>
      <w:r w:rsidRPr="00E67D12">
        <w:rPr>
          <w:sz w:val="24"/>
        </w:rPr>
        <w:t xml:space="preserve">Visto el expediente de Modificación Presupuestaria, presentado por la Presidencia, y considerando que se ajusta a </w:t>
      </w:r>
      <w:r w:rsidR="00EF2E8D" w:rsidRPr="00E67D12">
        <w:rPr>
          <w:sz w:val="24"/>
        </w:rPr>
        <w:t>d</w:t>
      </w:r>
      <w:r w:rsidRPr="00E67D12">
        <w:rPr>
          <w:sz w:val="24"/>
        </w:rPr>
        <w:t xml:space="preserve">erecho, esta Intervención Informa en sentido </w:t>
      </w:r>
      <w:r w:rsidR="00196C62">
        <w:rPr>
          <w:sz w:val="24"/>
        </w:rPr>
        <w:t>[</w:t>
      </w:r>
      <w:r w:rsidR="00A21E13">
        <w:rPr>
          <w:sz w:val="24"/>
        </w:rPr>
        <w:t>Res</w:t>
      </w:r>
      <w:r w:rsidR="00196C62">
        <w:rPr>
          <w:sz w:val="24"/>
        </w:rPr>
        <w:t>]</w:t>
      </w:r>
      <w:r w:rsidRPr="00E67D12">
        <w:rPr>
          <w:sz w:val="24"/>
        </w:rPr>
        <w:t xml:space="preserve">. </w:t>
      </w:r>
    </w:p>
    <w:p w14:paraId="5AA7F68C" w14:textId="0E3FC4CA" w:rsidR="00FB4834" w:rsidRPr="00E67D12" w:rsidRDefault="00000000" w:rsidP="009231F1">
      <w:pPr>
        <w:spacing w:after="17" w:line="259" w:lineRule="auto"/>
        <w:ind w:left="11" w:right="0" w:firstLine="0"/>
        <w:jc w:val="center"/>
        <w:rPr>
          <w:sz w:val="24"/>
        </w:rPr>
      </w:pPr>
      <w:r w:rsidRPr="00E67D12">
        <w:rPr>
          <w:sz w:val="24"/>
        </w:rPr>
        <w:t xml:space="preserve"> </w:t>
      </w:r>
      <w:r w:rsidRPr="00E67D12">
        <w:rPr>
          <w:b/>
          <w:color w:val="004765"/>
          <w:sz w:val="24"/>
        </w:rPr>
        <w:t xml:space="preserve"> </w:t>
      </w:r>
    </w:p>
    <w:sectPr w:rsidR="00FB4834" w:rsidRPr="00E67D12">
      <w:footerReference w:type="even" r:id="rId8"/>
      <w:footerReference w:type="default" r:id="rId9"/>
      <w:footerReference w:type="first" r:id="rId10"/>
      <w:pgSz w:w="14174" w:h="16838"/>
      <w:pgMar w:top="794" w:right="2223" w:bottom="905" w:left="2267" w:header="720" w:footer="5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8BFC9" w14:textId="77777777" w:rsidR="00A31C5F" w:rsidRDefault="00A31C5F">
      <w:pPr>
        <w:spacing w:after="0" w:line="240" w:lineRule="auto"/>
      </w:pPr>
      <w:r>
        <w:separator/>
      </w:r>
    </w:p>
  </w:endnote>
  <w:endnote w:type="continuationSeparator" w:id="0">
    <w:p w14:paraId="6FD6B36C" w14:textId="77777777" w:rsidR="00A31C5F" w:rsidRDefault="00A3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1A544" w14:textId="77777777" w:rsidR="00FB4834" w:rsidRDefault="00000000">
    <w:pPr>
      <w:spacing w:after="0" w:line="259" w:lineRule="auto"/>
      <w:ind w:left="-2267" w:right="11952" w:firstLine="0"/>
      <w:jc w:val="left"/>
    </w:pPr>
    <w:r>
      <w:rPr>
        <w:noProof/>
      </w:rPr>
      <w:drawing>
        <wp:anchor distT="0" distB="0" distL="114300" distR="114300" simplePos="0" relativeHeight="251658240" behindDoc="0" locked="0" layoutInCell="1" allowOverlap="0" wp14:anchorId="29F6D8F0" wp14:editId="7DED388A">
          <wp:simplePos x="0" y="0"/>
          <wp:positionH relativeFrom="page">
            <wp:posOffset>8208773</wp:posOffset>
          </wp:positionH>
          <wp:positionV relativeFrom="page">
            <wp:posOffset>9879584</wp:posOffset>
          </wp:positionV>
          <wp:extent cx="444500" cy="444500"/>
          <wp:effectExtent l="0" t="0" r="0" b="0"/>
          <wp:wrapSquare wrapText="bothSides"/>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1"/>
                  <a:stretch>
                    <a:fillRect/>
                  </a:stretch>
                </pic:blipFill>
                <pic:spPr>
                  <a:xfrm rot="-5399999">
                    <a:off x="0" y="0"/>
                    <a:ext cx="444500" cy="4445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2A25C" w14:textId="6DDA5513" w:rsidR="00FB4834" w:rsidRDefault="00FB4834">
    <w:pPr>
      <w:spacing w:after="0" w:line="259" w:lineRule="auto"/>
      <w:ind w:left="-2267" w:right="11952"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0C8A1" w14:textId="77777777" w:rsidR="00FB4834" w:rsidRDefault="00000000">
    <w:pPr>
      <w:spacing w:after="0" w:line="259" w:lineRule="auto"/>
      <w:ind w:left="-2267" w:right="11952" w:firstLine="0"/>
      <w:jc w:val="left"/>
    </w:pPr>
    <w:r>
      <w:rPr>
        <w:noProof/>
      </w:rPr>
      <w:drawing>
        <wp:anchor distT="0" distB="0" distL="114300" distR="114300" simplePos="0" relativeHeight="251660288" behindDoc="0" locked="0" layoutInCell="1" allowOverlap="0" wp14:anchorId="5C12F3DE" wp14:editId="5E227D03">
          <wp:simplePos x="0" y="0"/>
          <wp:positionH relativeFrom="page">
            <wp:posOffset>8208773</wp:posOffset>
          </wp:positionH>
          <wp:positionV relativeFrom="page">
            <wp:posOffset>9879584</wp:posOffset>
          </wp:positionV>
          <wp:extent cx="444500" cy="444500"/>
          <wp:effectExtent l="0" t="0" r="0" b="0"/>
          <wp:wrapSquare wrapText="bothSides"/>
          <wp:docPr id="1138547335"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1"/>
                  <a:stretch>
                    <a:fillRect/>
                  </a:stretch>
                </pic:blipFill>
                <pic:spPr>
                  <a:xfrm rot="-5399999">
                    <a:off x="0" y="0"/>
                    <a:ext cx="444500" cy="444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F9E42" w14:textId="77777777" w:rsidR="00A31C5F" w:rsidRDefault="00A31C5F">
      <w:pPr>
        <w:spacing w:after="0" w:line="240" w:lineRule="auto"/>
      </w:pPr>
      <w:r>
        <w:separator/>
      </w:r>
    </w:p>
  </w:footnote>
  <w:footnote w:type="continuationSeparator" w:id="0">
    <w:p w14:paraId="3BAAA7BC" w14:textId="77777777" w:rsidR="00A31C5F" w:rsidRDefault="00A31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027AE"/>
    <w:multiLevelType w:val="hybridMultilevel"/>
    <w:tmpl w:val="CEBA567E"/>
    <w:lvl w:ilvl="0" w:tplc="65DC0C86">
      <w:start w:val="1"/>
      <w:numFmt w:val="decimal"/>
      <w:lvlText w:val="%1)"/>
      <w:lvlJc w:val="left"/>
      <w:pPr>
        <w:ind w:left="495" w:hanging="360"/>
      </w:pPr>
      <w:rPr>
        <w:rFonts w:hint="default"/>
        <w:b/>
      </w:rPr>
    </w:lvl>
    <w:lvl w:ilvl="1" w:tplc="0C0A0019" w:tentative="1">
      <w:start w:val="1"/>
      <w:numFmt w:val="lowerLetter"/>
      <w:lvlText w:val="%2."/>
      <w:lvlJc w:val="left"/>
      <w:pPr>
        <w:ind w:left="1215" w:hanging="360"/>
      </w:pPr>
    </w:lvl>
    <w:lvl w:ilvl="2" w:tplc="0C0A001B" w:tentative="1">
      <w:start w:val="1"/>
      <w:numFmt w:val="lowerRoman"/>
      <w:lvlText w:val="%3."/>
      <w:lvlJc w:val="right"/>
      <w:pPr>
        <w:ind w:left="1935" w:hanging="180"/>
      </w:pPr>
    </w:lvl>
    <w:lvl w:ilvl="3" w:tplc="0C0A000F" w:tentative="1">
      <w:start w:val="1"/>
      <w:numFmt w:val="decimal"/>
      <w:lvlText w:val="%4."/>
      <w:lvlJc w:val="left"/>
      <w:pPr>
        <w:ind w:left="2655" w:hanging="360"/>
      </w:pPr>
    </w:lvl>
    <w:lvl w:ilvl="4" w:tplc="0C0A0019" w:tentative="1">
      <w:start w:val="1"/>
      <w:numFmt w:val="lowerLetter"/>
      <w:lvlText w:val="%5."/>
      <w:lvlJc w:val="left"/>
      <w:pPr>
        <w:ind w:left="3375" w:hanging="360"/>
      </w:pPr>
    </w:lvl>
    <w:lvl w:ilvl="5" w:tplc="0C0A001B" w:tentative="1">
      <w:start w:val="1"/>
      <w:numFmt w:val="lowerRoman"/>
      <w:lvlText w:val="%6."/>
      <w:lvlJc w:val="right"/>
      <w:pPr>
        <w:ind w:left="4095" w:hanging="180"/>
      </w:pPr>
    </w:lvl>
    <w:lvl w:ilvl="6" w:tplc="0C0A000F" w:tentative="1">
      <w:start w:val="1"/>
      <w:numFmt w:val="decimal"/>
      <w:lvlText w:val="%7."/>
      <w:lvlJc w:val="left"/>
      <w:pPr>
        <w:ind w:left="4815" w:hanging="360"/>
      </w:pPr>
    </w:lvl>
    <w:lvl w:ilvl="7" w:tplc="0C0A0019" w:tentative="1">
      <w:start w:val="1"/>
      <w:numFmt w:val="lowerLetter"/>
      <w:lvlText w:val="%8."/>
      <w:lvlJc w:val="left"/>
      <w:pPr>
        <w:ind w:left="5535" w:hanging="360"/>
      </w:pPr>
    </w:lvl>
    <w:lvl w:ilvl="8" w:tplc="0C0A001B" w:tentative="1">
      <w:start w:val="1"/>
      <w:numFmt w:val="lowerRoman"/>
      <w:lvlText w:val="%9."/>
      <w:lvlJc w:val="right"/>
      <w:pPr>
        <w:ind w:left="6255" w:hanging="180"/>
      </w:pPr>
    </w:lvl>
  </w:abstractNum>
  <w:num w:numId="1" w16cid:durableId="60333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834"/>
    <w:rsid w:val="000419F6"/>
    <w:rsid w:val="00050197"/>
    <w:rsid w:val="00080032"/>
    <w:rsid w:val="000846AF"/>
    <w:rsid w:val="000B6752"/>
    <w:rsid w:val="000E2AD5"/>
    <w:rsid w:val="001723D7"/>
    <w:rsid w:val="00196C62"/>
    <w:rsid w:val="001D7A9B"/>
    <w:rsid w:val="001F35D5"/>
    <w:rsid w:val="00274D17"/>
    <w:rsid w:val="002C1DF2"/>
    <w:rsid w:val="003216BE"/>
    <w:rsid w:val="003B1448"/>
    <w:rsid w:val="003F013D"/>
    <w:rsid w:val="004D2BA1"/>
    <w:rsid w:val="00533B36"/>
    <w:rsid w:val="005A0C37"/>
    <w:rsid w:val="007D341C"/>
    <w:rsid w:val="008C73E1"/>
    <w:rsid w:val="008F20E0"/>
    <w:rsid w:val="009231F1"/>
    <w:rsid w:val="00932A07"/>
    <w:rsid w:val="00A21E13"/>
    <w:rsid w:val="00A31C5F"/>
    <w:rsid w:val="00AE6642"/>
    <w:rsid w:val="00C67EA7"/>
    <w:rsid w:val="00C8617B"/>
    <w:rsid w:val="00CE03C3"/>
    <w:rsid w:val="00D376FC"/>
    <w:rsid w:val="00DE3D77"/>
    <w:rsid w:val="00E67D12"/>
    <w:rsid w:val="00EF2E8D"/>
    <w:rsid w:val="00FB4834"/>
    <w:rsid w:val="00FE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BC2"/>
  <w15:docId w15:val="{141F7758-2021-4F58-91A1-EACCE0E2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 w:line="249" w:lineRule="auto"/>
      <w:ind w:left="10" w:right="42" w:hanging="10"/>
      <w:jc w:val="both"/>
    </w:pPr>
    <w:rPr>
      <w:rFonts w:ascii="Arial" w:eastAsia="Arial" w:hAnsi="Arial" w:cs="Arial"/>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1723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23D7"/>
    <w:rPr>
      <w:rFonts w:ascii="Arial" w:eastAsia="Arial" w:hAnsi="Arial" w:cs="Arial"/>
      <w:color w:val="000000"/>
      <w:sz w:val="16"/>
    </w:rPr>
  </w:style>
  <w:style w:type="paragraph" w:styleId="Prrafodelista">
    <w:name w:val="List Paragraph"/>
    <w:basedOn w:val="Normal"/>
    <w:uiPriority w:val="34"/>
    <w:qFormat/>
    <w:rsid w:val="003B1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3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6949C-E49C-4814-8459-10532498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cp:lastModifiedBy>powerbi ITS Duero S.L.</cp:lastModifiedBy>
  <cp:revision>16</cp:revision>
  <dcterms:created xsi:type="dcterms:W3CDTF">2025-05-26T14:12:00Z</dcterms:created>
  <dcterms:modified xsi:type="dcterms:W3CDTF">2025-05-29T11:15:00Z</dcterms:modified>
</cp:coreProperties>
</file>