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DCDEC" w14:textId="77777777" w:rsidR="00F66F8D" w:rsidRPr="00531CDA" w:rsidRDefault="00F66F8D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 w:cs="Arial"/>
          <w:szCs w:val="20"/>
        </w:rPr>
      </w:pPr>
    </w:p>
    <w:p w14:paraId="74B1B85D" w14:textId="10933035" w:rsidR="00F66F8D" w:rsidRPr="00BA7274" w:rsidRDefault="00BA7274" w:rsidP="001D111A">
      <w:pPr>
        <w:pStyle w:val="Encabezado"/>
        <w:tabs>
          <w:tab w:val="left" w:pos="708"/>
        </w:tabs>
        <w:spacing w:before="70"/>
        <w:jc w:val="center"/>
        <w:rPr>
          <w:rStyle w:val="Referenciaintensa"/>
          <w:sz w:val="22"/>
          <w:szCs w:val="22"/>
        </w:rPr>
      </w:pPr>
      <w:r w:rsidRPr="00BA7274">
        <w:rPr>
          <w:rStyle w:val="Referenciaintensa"/>
          <w:sz w:val="22"/>
          <w:szCs w:val="22"/>
        </w:rPr>
        <w:t>Informe De Intervención Del Expediente De Modificación Presupuestaria En Su Modalidad De</w:t>
      </w:r>
      <w:r>
        <w:rPr>
          <w:rStyle w:val="Referenciaintensa"/>
          <w:sz w:val="22"/>
          <w:szCs w:val="22"/>
        </w:rPr>
        <w:t>:</w:t>
      </w:r>
      <w:r w:rsidRPr="00BA7274">
        <w:rPr>
          <w:rStyle w:val="Referenciaintensa"/>
          <w:sz w:val="22"/>
          <w:szCs w:val="22"/>
        </w:rPr>
        <w:t xml:space="preserve"> </w:t>
      </w:r>
      <w:r w:rsidR="007C086C">
        <w:rPr>
          <w:rStyle w:val="Referenciaintensa"/>
          <w:sz w:val="22"/>
          <w:szCs w:val="22"/>
        </w:rPr>
        <w:t xml:space="preserve">Ampliación de </w:t>
      </w:r>
      <w:r w:rsidRPr="00BA7274">
        <w:rPr>
          <w:rStyle w:val="Referenciaintensa"/>
          <w:sz w:val="22"/>
          <w:szCs w:val="22"/>
        </w:rPr>
        <w:t>Crédito.</w:t>
      </w:r>
    </w:p>
    <w:p w14:paraId="1DDFDB6E" w14:textId="77777777" w:rsidR="000C268E" w:rsidRPr="00BA7274" w:rsidRDefault="000C268E" w:rsidP="001D111A">
      <w:pPr>
        <w:pStyle w:val="Encabezado"/>
        <w:tabs>
          <w:tab w:val="left" w:pos="708"/>
        </w:tabs>
        <w:spacing w:before="70"/>
        <w:jc w:val="center"/>
        <w:rPr>
          <w:rFonts w:ascii="Century Gothic" w:hAnsi="Century Gothic" w:cs="Arial"/>
          <w:b/>
          <w:bCs w:val="0"/>
          <w:noProof/>
          <w:sz w:val="22"/>
          <w:szCs w:val="22"/>
        </w:rPr>
      </w:pPr>
    </w:p>
    <w:p w14:paraId="67F8824C" w14:textId="77777777" w:rsidR="000C268E" w:rsidRPr="001D111A" w:rsidRDefault="000C268E" w:rsidP="001D111A">
      <w:pPr>
        <w:pStyle w:val="Encabezado"/>
        <w:tabs>
          <w:tab w:val="left" w:pos="708"/>
        </w:tabs>
        <w:spacing w:before="70"/>
        <w:jc w:val="center"/>
        <w:rPr>
          <w:rFonts w:ascii="Century Gothic" w:hAnsi="Century Gothic" w:cs="Arial"/>
          <w:b/>
          <w:bCs w:val="0"/>
          <w:noProof/>
          <w:szCs w:val="20"/>
        </w:rPr>
      </w:pPr>
    </w:p>
    <w:p w14:paraId="60FABB9F" w14:textId="05A0E570" w:rsidR="000110BF" w:rsidRPr="001D111A" w:rsidRDefault="00472977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 w:cs="Arial"/>
          <w:sz w:val="18"/>
          <w:szCs w:val="18"/>
        </w:rPr>
      </w:pPr>
      <w:r w:rsidRPr="001D111A">
        <w:rPr>
          <w:rFonts w:ascii="Century Gothic" w:hAnsi="Century Gothic" w:cs="Arial"/>
          <w:noProof/>
          <w:sz w:val="18"/>
          <w:szCs w:val="18"/>
        </w:rPr>
        <w:t xml:space="preserve">  </w:t>
      </w:r>
      <w:r w:rsidR="00260349" w:rsidRPr="001D111A">
        <w:rPr>
          <w:rFonts w:ascii="Century Gothic" w:hAnsi="Century Gothic" w:cs="Arial"/>
          <w:noProof/>
          <w:sz w:val="18"/>
          <w:szCs w:val="18"/>
        </w:rPr>
        <w:t>A</w:t>
      </w:r>
      <w:r w:rsidR="000110BF" w:rsidRPr="001D111A">
        <w:rPr>
          <w:rFonts w:ascii="Century Gothic" w:hAnsi="Century Gothic" w:cs="Arial"/>
          <w:sz w:val="18"/>
          <w:szCs w:val="18"/>
        </w:rPr>
        <w:t xml:space="preserve">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</w:t>
      </w:r>
      <w:r w:rsidR="000110BF" w:rsidRPr="001D111A">
        <w:rPr>
          <w:rFonts w:ascii="Century Gothic" w:hAnsi="Century Gothic" w:cs="Arial"/>
          <w:sz w:val="18"/>
          <w:szCs w:val="18"/>
          <w:lang w:val="es-ES_tradnl"/>
        </w:rPr>
        <w:t xml:space="preserve"> que completa la mentada Ley en su aspecto presupuestario,</w:t>
      </w:r>
      <w:r w:rsidR="000110BF" w:rsidRPr="001D111A">
        <w:rPr>
          <w:rFonts w:ascii="Century Gothic" w:hAnsi="Century Gothic" w:cs="Arial"/>
          <w:sz w:val="18"/>
          <w:szCs w:val="18"/>
        </w:rPr>
        <w:t xml:space="preserve"> así como de las Bases de Ejecución </w:t>
      </w:r>
      <w:r w:rsidR="00F66F8D" w:rsidRPr="001D111A">
        <w:rPr>
          <w:rFonts w:ascii="Century Gothic" w:hAnsi="Century Gothic" w:cs="Arial"/>
          <w:sz w:val="18"/>
          <w:szCs w:val="18"/>
        </w:rPr>
        <w:t xml:space="preserve">del Presupuesto </w:t>
      </w:r>
      <w:r w:rsidR="000110BF" w:rsidRPr="001D111A">
        <w:rPr>
          <w:rFonts w:ascii="Century Gothic" w:hAnsi="Century Gothic" w:cs="Arial"/>
          <w:sz w:val="18"/>
          <w:szCs w:val="18"/>
        </w:rPr>
        <w:t>de esta Entidad</w:t>
      </w:r>
      <w:r w:rsidRPr="001D111A">
        <w:rPr>
          <w:rFonts w:ascii="Century Gothic" w:hAnsi="Century Gothic" w:cs="Arial"/>
          <w:sz w:val="18"/>
          <w:szCs w:val="18"/>
        </w:rPr>
        <w:t xml:space="preserve">, </w:t>
      </w:r>
      <w:r w:rsidR="000110BF" w:rsidRPr="001D111A">
        <w:rPr>
          <w:rFonts w:ascii="Century Gothic" w:hAnsi="Century Gothic" w:cs="Arial"/>
          <w:b/>
          <w:bCs w:val="0"/>
          <w:sz w:val="18"/>
          <w:szCs w:val="18"/>
        </w:rPr>
        <w:t>INFORMO:</w:t>
      </w:r>
    </w:p>
    <w:p w14:paraId="0DFCBC13" w14:textId="77777777" w:rsidR="00472977" w:rsidRPr="001D111A" w:rsidRDefault="00472977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 w:cs="Arial"/>
          <w:sz w:val="18"/>
          <w:szCs w:val="18"/>
        </w:rPr>
      </w:pPr>
    </w:p>
    <w:p w14:paraId="33C7DB4D" w14:textId="1597AA35" w:rsidR="00FC3078" w:rsidRPr="0006221A" w:rsidRDefault="008F2B66" w:rsidP="00531CDA">
      <w:pPr>
        <w:jc w:val="both"/>
        <w:rPr>
          <w:rFonts w:ascii="Century Gothic" w:hAnsi="Century Gothic" w:cs="Arial"/>
          <w:szCs w:val="20"/>
        </w:rPr>
      </w:pPr>
      <w:r w:rsidRPr="00531CDA">
        <w:rPr>
          <w:rFonts w:ascii="Century Gothic" w:hAnsi="Century Gothic" w:cs="Arial"/>
          <w:b/>
          <w:bCs w:val="0"/>
          <w:szCs w:val="20"/>
        </w:rPr>
        <w:t xml:space="preserve"> </w:t>
      </w:r>
      <w:r w:rsidR="000110BF" w:rsidRPr="00531CDA">
        <w:rPr>
          <w:rFonts w:ascii="Century Gothic" w:hAnsi="Century Gothic" w:cs="Arial"/>
          <w:b/>
          <w:bCs w:val="0"/>
          <w:szCs w:val="20"/>
        </w:rPr>
        <w:t>Primero:</w:t>
      </w:r>
      <w:r w:rsidR="00BE554E">
        <w:rPr>
          <w:rFonts w:ascii="Century Gothic" w:hAnsi="Century Gothic" w:cs="Arial"/>
          <w:b/>
          <w:bCs w:val="0"/>
          <w:szCs w:val="20"/>
        </w:rPr>
        <w:t xml:space="preserve"> </w:t>
      </w:r>
      <w:r w:rsidR="00BE554E" w:rsidRPr="00BE554E">
        <w:rPr>
          <w:rFonts w:ascii="Century Gothic" w:hAnsi="Century Gothic" w:cs="Arial"/>
          <w:szCs w:val="20"/>
        </w:rPr>
        <w:t xml:space="preserve">Se ha producido un incremento de ingresos </w:t>
      </w:r>
      <w:r w:rsidR="00BE554E">
        <w:rPr>
          <w:rFonts w:ascii="Century Gothic" w:hAnsi="Century Gothic" w:cs="Arial"/>
          <w:szCs w:val="20"/>
        </w:rPr>
        <w:t>expresamente ampliables</w:t>
      </w:r>
      <w:r w:rsidR="00BE554E" w:rsidRPr="00BE554E">
        <w:rPr>
          <w:rFonts w:ascii="Century Gothic" w:hAnsi="Century Gothic" w:cs="Arial"/>
          <w:szCs w:val="20"/>
        </w:rPr>
        <w:t>, destinado a la financiación del gasto en la</w:t>
      </w:r>
      <w:r w:rsidR="00BE554E">
        <w:rPr>
          <w:rFonts w:ascii="Century Gothic" w:hAnsi="Century Gothic" w:cs="Arial"/>
          <w:szCs w:val="20"/>
        </w:rPr>
        <w:t>-s</w:t>
      </w:r>
      <w:r w:rsidR="00BE554E" w:rsidRPr="00BE554E">
        <w:rPr>
          <w:rFonts w:ascii="Century Gothic" w:hAnsi="Century Gothic" w:cs="Arial"/>
          <w:szCs w:val="20"/>
        </w:rPr>
        <w:t xml:space="preserve"> aplicación</w:t>
      </w:r>
      <w:r w:rsidR="00BE554E">
        <w:rPr>
          <w:rFonts w:ascii="Century Gothic" w:hAnsi="Century Gothic" w:cs="Arial"/>
          <w:szCs w:val="20"/>
        </w:rPr>
        <w:t>-es</w:t>
      </w:r>
      <w:r w:rsidR="00BE554E" w:rsidRPr="00BE554E">
        <w:rPr>
          <w:rFonts w:ascii="Century Gothic" w:hAnsi="Century Gothic" w:cs="Arial"/>
          <w:szCs w:val="20"/>
        </w:rPr>
        <w:t xml:space="preserve"> presupuestaria </w:t>
      </w:r>
      <w:r w:rsidR="00BE554E">
        <w:rPr>
          <w:rFonts w:ascii="Century Gothic" w:hAnsi="Century Gothic" w:cs="Arial"/>
          <w:szCs w:val="20"/>
        </w:rPr>
        <w:t>que se indica</w:t>
      </w:r>
      <w:r w:rsidR="00BE554E" w:rsidRPr="00BE554E">
        <w:rPr>
          <w:rFonts w:ascii="Century Gothic" w:hAnsi="Century Gothic" w:cs="Arial"/>
          <w:szCs w:val="20"/>
        </w:rPr>
        <w:t>, la cual está declarada como ampliable en las Bases de Ejecución del Presupuesto.</w:t>
      </w:r>
      <w:r w:rsidR="00BE554E">
        <w:rPr>
          <w:rFonts w:ascii="Century Gothic" w:hAnsi="Century Gothic" w:cs="Arial"/>
          <w:szCs w:val="20"/>
        </w:rPr>
        <w:t xml:space="preserve"> Por ello procede </w:t>
      </w:r>
      <w:r w:rsidR="000110BF" w:rsidRPr="00531CDA">
        <w:rPr>
          <w:rFonts w:ascii="Century Gothic" w:hAnsi="Century Gothic" w:cs="Arial"/>
          <w:szCs w:val="20"/>
        </w:rPr>
        <w:t>aumentar el crédito de la</w:t>
      </w:r>
      <w:r w:rsidR="00BE554E">
        <w:rPr>
          <w:rFonts w:ascii="Century Gothic" w:hAnsi="Century Gothic" w:cs="Arial"/>
          <w:szCs w:val="20"/>
        </w:rPr>
        <w:t>-</w:t>
      </w:r>
      <w:r w:rsidR="000110BF" w:rsidRPr="00531CDA">
        <w:rPr>
          <w:rFonts w:ascii="Century Gothic" w:hAnsi="Century Gothic" w:cs="Arial"/>
          <w:szCs w:val="20"/>
        </w:rPr>
        <w:t xml:space="preserve">s </w:t>
      </w:r>
      <w:r w:rsidR="000110BF" w:rsidRPr="00531CDA">
        <w:rPr>
          <w:rFonts w:ascii="Century Gothic" w:hAnsi="Century Gothic" w:cs="Arial"/>
          <w:szCs w:val="20"/>
        </w:rPr>
        <w:fldChar w:fldCharType="begin"/>
      </w:r>
      <w:r w:rsidR="000110BF" w:rsidRPr="00531CDA">
        <w:rPr>
          <w:rFonts w:ascii="Century Gothic" w:hAnsi="Century Gothic" w:cs="Arial"/>
          <w:szCs w:val="20"/>
        </w:rPr>
        <w:instrText xml:space="preserve"> IF </w:instrText>
      </w:r>
      <w:r w:rsidR="000110BF" w:rsidRPr="00531CDA">
        <w:rPr>
          <w:rFonts w:ascii="Century Gothic" w:hAnsi="Century Gothic" w:cs="Arial"/>
          <w:noProof/>
          <w:szCs w:val="20"/>
        </w:rPr>
        <w:instrText>2021</w:instrText>
      </w:r>
      <w:r w:rsidR="000110BF" w:rsidRPr="00531CDA">
        <w:rPr>
          <w:rFonts w:ascii="Century Gothic" w:hAnsi="Century Gothic" w:cs="Arial"/>
          <w:szCs w:val="20"/>
        </w:rPr>
        <w:instrText xml:space="preserve"> &lt; 2010 "partidas" "aplicaciones" </w:instrText>
      </w:r>
      <w:r w:rsidR="000110BF" w:rsidRPr="00531CDA">
        <w:rPr>
          <w:rFonts w:ascii="Century Gothic" w:hAnsi="Century Gothic" w:cs="Arial"/>
          <w:szCs w:val="20"/>
        </w:rPr>
        <w:fldChar w:fldCharType="separate"/>
      </w:r>
      <w:r w:rsidR="00BE554E">
        <w:rPr>
          <w:rFonts w:ascii="Century Gothic" w:hAnsi="Century Gothic" w:cs="Arial"/>
          <w:noProof/>
          <w:szCs w:val="20"/>
        </w:rPr>
        <w:t>aplicación-</w:t>
      </w:r>
      <w:r w:rsidR="00472977" w:rsidRPr="00531CDA">
        <w:rPr>
          <w:rFonts w:ascii="Century Gothic" w:hAnsi="Century Gothic" w:cs="Arial"/>
          <w:noProof/>
          <w:szCs w:val="20"/>
        </w:rPr>
        <w:t>es</w:t>
      </w:r>
      <w:r w:rsidR="000110BF" w:rsidRPr="00531CDA">
        <w:rPr>
          <w:rFonts w:ascii="Century Gothic" w:hAnsi="Century Gothic" w:cs="Arial"/>
          <w:szCs w:val="20"/>
        </w:rPr>
        <w:fldChar w:fldCharType="end"/>
      </w:r>
      <w:r w:rsidR="000110BF" w:rsidRPr="00531CDA">
        <w:rPr>
          <w:rFonts w:ascii="Century Gothic" w:hAnsi="Century Gothic" w:cs="Arial"/>
          <w:szCs w:val="20"/>
        </w:rPr>
        <w:t xml:space="preserve"> presupuestarias en los términos que se detallan a continuación</w:t>
      </w:r>
      <w:r w:rsidR="00891A19" w:rsidRPr="00531CDA">
        <w:rPr>
          <w:rFonts w:ascii="Century Gothic" w:hAnsi="Century Gothic" w:cs="Arial"/>
          <w:szCs w:val="20"/>
        </w:rPr>
        <w:t xml:space="preserve">, en la figura de </w:t>
      </w:r>
      <w:r w:rsidR="00BE554E">
        <w:rPr>
          <w:rFonts w:ascii="Century Gothic" w:hAnsi="Century Gothic" w:cs="Arial"/>
          <w:szCs w:val="20"/>
        </w:rPr>
        <w:t>ampliación de créditos</w:t>
      </w:r>
      <w:r w:rsidR="00A717A5" w:rsidRPr="00531CDA">
        <w:rPr>
          <w:rFonts w:ascii="Century Gothic" w:hAnsi="Century Gothic" w:cs="Arial"/>
          <w:szCs w:val="20"/>
        </w:rPr>
        <w:t>, con el siguiente detalle</w:t>
      </w:r>
      <w:r w:rsidR="00472977" w:rsidRPr="00531CDA">
        <w:rPr>
          <w:rFonts w:ascii="Century Gothic" w:hAnsi="Century Gothic" w:cs="Arial"/>
          <w:szCs w:val="20"/>
        </w:rPr>
        <w:t>:</w:t>
      </w:r>
    </w:p>
    <w:p w14:paraId="1534EDDF" w14:textId="09815AAE" w:rsidR="0006221A" w:rsidRPr="00C64970" w:rsidRDefault="0006221A" w:rsidP="00531CDA">
      <w:pPr>
        <w:jc w:val="both"/>
        <w:rPr>
          <w:rStyle w:val="Referenciaintensa"/>
        </w:rPr>
      </w:pPr>
      <w:r w:rsidRPr="00C64970">
        <w:rPr>
          <w:rStyle w:val="Referenciaintensa"/>
        </w:rPr>
        <w:t>[G</w:t>
      </w:r>
      <w:r w:rsidR="00A3033E">
        <w:rPr>
          <w:rStyle w:val="Referenciaintensa"/>
        </w:rPr>
        <w:t>AS</w:t>
      </w:r>
      <w:r w:rsidRPr="00C64970">
        <w:rPr>
          <w:rStyle w:val="Referenciaintensa"/>
        </w:rPr>
        <w:t>]</w:t>
      </w:r>
    </w:p>
    <w:p w14:paraId="2A962FC5" w14:textId="77777777" w:rsidR="0006221A" w:rsidRDefault="0006221A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 w:cs="Arial"/>
          <w:b/>
          <w:bCs w:val="0"/>
          <w:szCs w:val="20"/>
        </w:rPr>
      </w:pPr>
    </w:p>
    <w:p w14:paraId="5EB37567" w14:textId="77777777" w:rsidR="000110BF" w:rsidRDefault="000110BF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 w:cs="Arial"/>
          <w:szCs w:val="20"/>
        </w:rPr>
      </w:pPr>
      <w:r w:rsidRPr="00531CDA">
        <w:rPr>
          <w:rFonts w:ascii="Century Gothic" w:hAnsi="Century Gothic" w:cs="Arial"/>
          <w:b/>
          <w:bCs w:val="0"/>
          <w:szCs w:val="20"/>
        </w:rPr>
        <w:t>Segundo:</w:t>
      </w:r>
      <w:r w:rsidRPr="00531CDA">
        <w:rPr>
          <w:rFonts w:ascii="Century Gothic" w:hAnsi="Century Gothic" w:cs="Arial"/>
          <w:szCs w:val="20"/>
        </w:rPr>
        <w:t xml:space="preserve"> Para </w:t>
      </w:r>
      <w:r w:rsidR="00472977" w:rsidRPr="00531CDA">
        <w:rPr>
          <w:rFonts w:ascii="Century Gothic" w:hAnsi="Century Gothic" w:cs="Arial"/>
          <w:szCs w:val="20"/>
        </w:rPr>
        <w:t>financiar la</w:t>
      </w:r>
      <w:r w:rsidRPr="00531CDA">
        <w:rPr>
          <w:rFonts w:ascii="Century Gothic" w:hAnsi="Century Gothic" w:cs="Arial"/>
          <w:szCs w:val="20"/>
        </w:rPr>
        <w:t xml:space="preserve"> modificación presupuestaria, se cuenta con los siguientes recursos:</w:t>
      </w:r>
    </w:p>
    <w:p w14:paraId="25ABCC48" w14:textId="27546CFA" w:rsidR="00040845" w:rsidRPr="00C64970" w:rsidRDefault="0006221A">
      <w:pPr>
        <w:pStyle w:val="Encabezado"/>
        <w:tabs>
          <w:tab w:val="left" w:pos="708"/>
        </w:tabs>
        <w:spacing w:before="70"/>
        <w:jc w:val="both"/>
        <w:rPr>
          <w:rStyle w:val="Referenciaintensa"/>
        </w:rPr>
      </w:pPr>
      <w:r w:rsidRPr="00C64970">
        <w:rPr>
          <w:rStyle w:val="Referenciaintensa"/>
        </w:rPr>
        <w:t>[I</w:t>
      </w:r>
      <w:r w:rsidR="00A3033E">
        <w:rPr>
          <w:rStyle w:val="Referenciaintensa"/>
        </w:rPr>
        <w:t>NG</w:t>
      </w:r>
      <w:r w:rsidRPr="00C64970">
        <w:rPr>
          <w:rStyle w:val="Referenciaintensa"/>
        </w:rPr>
        <w:t>]</w:t>
      </w:r>
    </w:p>
    <w:p w14:paraId="4AC8B428" w14:textId="77777777" w:rsidR="008F2B66" w:rsidRPr="00531CDA" w:rsidRDefault="008F2B66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 w:cs="Arial"/>
          <w:b/>
          <w:bCs w:val="0"/>
          <w:szCs w:val="20"/>
        </w:rPr>
      </w:pPr>
    </w:p>
    <w:p w14:paraId="10B43FBF" w14:textId="266FE3E4" w:rsidR="000110BF" w:rsidRPr="00531CDA" w:rsidRDefault="008F2B66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 w:cs="Arial"/>
          <w:szCs w:val="20"/>
        </w:rPr>
      </w:pPr>
      <w:r w:rsidRPr="00531CDA">
        <w:rPr>
          <w:rFonts w:ascii="Century Gothic" w:hAnsi="Century Gothic" w:cs="Arial"/>
          <w:b/>
          <w:bCs w:val="0"/>
          <w:szCs w:val="20"/>
        </w:rPr>
        <w:t xml:space="preserve"> </w:t>
      </w:r>
      <w:r w:rsidR="000110BF" w:rsidRPr="00531CDA">
        <w:rPr>
          <w:rFonts w:ascii="Century Gothic" w:hAnsi="Century Gothic" w:cs="Arial"/>
          <w:b/>
          <w:bCs w:val="0"/>
          <w:szCs w:val="20"/>
        </w:rPr>
        <w:t>Tercero:</w:t>
      </w:r>
      <w:r w:rsidR="000110BF" w:rsidRPr="00531CDA">
        <w:rPr>
          <w:rFonts w:ascii="Century Gothic" w:hAnsi="Century Gothic" w:cs="Arial"/>
          <w:szCs w:val="20"/>
        </w:rPr>
        <w:t xml:space="preserve"> </w:t>
      </w:r>
      <w:r w:rsidR="00582E9B" w:rsidRPr="00582E9B">
        <w:rPr>
          <w:rFonts w:ascii="Century Gothic" w:hAnsi="Century Gothic" w:cs="Arial"/>
          <w:szCs w:val="20"/>
        </w:rPr>
        <w:t>Esta ampliación de crédito será registrada en la contabilidad presupuestaria mediante los oportunos asientos contables por parte del servicio de intervención y tendrá reflejo inmediato en la ejecución del presupuesto.</w:t>
      </w:r>
    </w:p>
    <w:p w14:paraId="6DFE345D" w14:textId="77777777" w:rsidR="000110BF" w:rsidRDefault="000110BF">
      <w:pPr>
        <w:pStyle w:val="Encabezado"/>
        <w:tabs>
          <w:tab w:val="left" w:pos="720"/>
        </w:tabs>
        <w:spacing w:before="70"/>
        <w:jc w:val="both"/>
        <w:rPr>
          <w:rFonts w:ascii="Century Gothic" w:hAnsi="Century Gothic" w:cs="Arial"/>
          <w:szCs w:val="20"/>
        </w:rPr>
      </w:pPr>
    </w:p>
    <w:p w14:paraId="4C2BB38B" w14:textId="77777777" w:rsidR="001D111A" w:rsidRPr="00531CDA" w:rsidRDefault="001D111A">
      <w:pPr>
        <w:pStyle w:val="Encabezado"/>
        <w:tabs>
          <w:tab w:val="left" w:pos="720"/>
        </w:tabs>
        <w:spacing w:before="70"/>
        <w:jc w:val="both"/>
        <w:rPr>
          <w:rFonts w:ascii="Century Gothic" w:hAnsi="Century Gothic" w:cs="Arial"/>
          <w:szCs w:val="20"/>
        </w:rPr>
      </w:pPr>
    </w:p>
    <w:p w14:paraId="3D5250AF" w14:textId="00A0718A" w:rsidR="00C64970" w:rsidRPr="00C64970" w:rsidRDefault="00531CDA" w:rsidP="00C64970">
      <w:pPr>
        <w:jc w:val="both"/>
        <w:rPr>
          <w:rStyle w:val="Referenciaintensa"/>
        </w:rPr>
      </w:pPr>
      <w:r>
        <w:rPr>
          <w:rFonts w:ascii="Century Gothic" w:hAnsi="Century Gothic" w:cs="Arial"/>
          <w:b/>
          <w:bCs w:val="0"/>
          <w:szCs w:val="20"/>
        </w:rPr>
        <w:t xml:space="preserve"> </w:t>
      </w:r>
      <w:r w:rsidR="000C268E">
        <w:rPr>
          <w:rFonts w:ascii="Century Gothic" w:hAnsi="Century Gothic" w:cs="Arial"/>
          <w:b/>
          <w:bCs w:val="0"/>
          <w:szCs w:val="20"/>
        </w:rPr>
        <w:t xml:space="preserve"> </w:t>
      </w:r>
      <w:r w:rsidR="000110BF" w:rsidRPr="00531CDA">
        <w:rPr>
          <w:rFonts w:ascii="Century Gothic" w:hAnsi="Century Gothic" w:cs="Arial"/>
          <w:b/>
          <w:bCs w:val="0"/>
          <w:szCs w:val="20"/>
        </w:rPr>
        <w:t>CONCLUSIÓN:</w:t>
      </w:r>
      <w:r w:rsidR="00472977" w:rsidRPr="00531CDA">
        <w:rPr>
          <w:rFonts w:ascii="Century Gothic" w:hAnsi="Century Gothic" w:cs="Arial"/>
          <w:b/>
          <w:szCs w:val="20"/>
        </w:rPr>
        <w:t xml:space="preserve"> </w:t>
      </w:r>
      <w:r w:rsidR="000110BF" w:rsidRPr="00531CDA">
        <w:rPr>
          <w:rFonts w:ascii="Century Gothic" w:hAnsi="Century Gothic" w:cs="Arial"/>
          <w:szCs w:val="20"/>
        </w:rPr>
        <w:t xml:space="preserve">Visto el expediente de Modificación Presupuestaria, presentado por la Presidencia, y considerando que se ajusta a Derecho, esta Intervención </w:t>
      </w:r>
      <w:r w:rsidR="00F66F8D" w:rsidRPr="00531CDA">
        <w:rPr>
          <w:rFonts w:ascii="Century Gothic" w:hAnsi="Century Gothic" w:cs="Arial"/>
          <w:szCs w:val="20"/>
        </w:rPr>
        <w:t>Informa en sentido</w:t>
      </w:r>
      <w:r w:rsidR="00F66F8D" w:rsidRPr="000C268E">
        <w:rPr>
          <w:rFonts w:ascii="Century Gothic" w:hAnsi="Century Gothic" w:cs="Arial"/>
          <w:szCs w:val="20"/>
        </w:rPr>
        <w:t xml:space="preserve"> </w:t>
      </w:r>
      <w:r w:rsidR="00C64970" w:rsidRPr="00C64970">
        <w:rPr>
          <w:rStyle w:val="Referenciaintensa"/>
        </w:rPr>
        <w:t>[</w:t>
      </w:r>
      <w:r w:rsidR="00C64970">
        <w:rPr>
          <w:rStyle w:val="Referenciaintensa"/>
        </w:rPr>
        <w:t>R</w:t>
      </w:r>
      <w:r w:rsidR="00A3033E">
        <w:rPr>
          <w:rStyle w:val="Referenciaintensa"/>
        </w:rPr>
        <w:t>ES</w:t>
      </w:r>
      <w:r w:rsidR="00C64970" w:rsidRPr="00C64970">
        <w:rPr>
          <w:rStyle w:val="Referenciaintensa"/>
        </w:rPr>
        <w:t>]</w:t>
      </w:r>
    </w:p>
    <w:p w14:paraId="784D56C8" w14:textId="19EE104F" w:rsidR="000C268E" w:rsidRDefault="000C268E" w:rsidP="00531CDA">
      <w:pPr>
        <w:pStyle w:val="Encabezado"/>
        <w:tabs>
          <w:tab w:val="left" w:pos="720"/>
        </w:tabs>
        <w:spacing w:before="70"/>
        <w:jc w:val="both"/>
        <w:rPr>
          <w:rFonts w:ascii="Century Gothic" w:hAnsi="Century Gothic" w:cs="Arial"/>
          <w:szCs w:val="20"/>
        </w:rPr>
      </w:pPr>
    </w:p>
    <w:p w14:paraId="4393BABB" w14:textId="03E71039" w:rsidR="000110BF" w:rsidRPr="00531CDA" w:rsidRDefault="000C268E" w:rsidP="00531CDA">
      <w:pPr>
        <w:pStyle w:val="Encabezado"/>
        <w:tabs>
          <w:tab w:val="left" w:pos="720"/>
        </w:tabs>
        <w:spacing w:before="70"/>
        <w:jc w:val="both"/>
        <w:rPr>
          <w:rFonts w:ascii="Century Gothic" w:hAnsi="Century Gothic" w:cs="Arial"/>
          <w:szCs w:val="20"/>
        </w:rPr>
      </w:pPr>
      <w:r>
        <w:rPr>
          <w:rFonts w:ascii="Century Gothic" w:hAnsi="Century Gothic" w:cs="Arial"/>
          <w:szCs w:val="20"/>
        </w:rPr>
        <w:t xml:space="preserve">  </w:t>
      </w:r>
      <w:r w:rsidR="00BE554E">
        <w:rPr>
          <w:rFonts w:ascii="Century Gothic" w:hAnsi="Century Gothic" w:cs="Arial"/>
          <w:szCs w:val="20"/>
        </w:rPr>
        <w:t>La presente modificación no afecta a la estabilidad presupuestaria</w:t>
      </w:r>
      <w:r>
        <w:rPr>
          <w:rFonts w:ascii="Century Gothic" w:hAnsi="Century Gothic" w:cs="Arial"/>
          <w:szCs w:val="20"/>
        </w:rPr>
        <w:t xml:space="preserve">, conforme a la </w:t>
      </w:r>
      <w:r w:rsidRPr="000C268E">
        <w:rPr>
          <w:rFonts w:ascii="Century Gothic" w:hAnsi="Century Gothic" w:cs="Arial"/>
          <w:szCs w:val="20"/>
        </w:rPr>
        <w:t>Circular nº 2 de la IGAE de 11 de marzo de 1985</w:t>
      </w:r>
      <w:r>
        <w:rPr>
          <w:rFonts w:ascii="Century Gothic" w:hAnsi="Century Gothic" w:cs="Arial"/>
          <w:szCs w:val="20"/>
        </w:rPr>
        <w:t xml:space="preserve">, en cuanto no se ve afectada por la </w:t>
      </w:r>
      <w:r w:rsidRPr="000C268E">
        <w:rPr>
          <w:rFonts w:ascii="Century Gothic" w:hAnsi="Century Gothic" w:cs="Arial"/>
          <w:szCs w:val="20"/>
        </w:rPr>
        <w:t>Ley de Estabilidad de 2001 y LOEPSF de 2012</w:t>
      </w:r>
      <w:r>
        <w:rPr>
          <w:rFonts w:ascii="Century Gothic" w:hAnsi="Century Gothic" w:cs="Arial"/>
          <w:szCs w:val="20"/>
        </w:rPr>
        <w:t>.</w:t>
      </w:r>
    </w:p>
    <w:p w14:paraId="65CC67F6" w14:textId="77777777" w:rsidR="000C268E" w:rsidRDefault="000C268E"/>
    <w:p w14:paraId="7CDD8679" w14:textId="77777777" w:rsidR="00260349" w:rsidRPr="00531CDA" w:rsidRDefault="00260349" w:rsidP="00531CDA">
      <w:pPr>
        <w:pStyle w:val="Encabezado"/>
        <w:tabs>
          <w:tab w:val="left" w:pos="720"/>
        </w:tabs>
        <w:spacing w:before="70"/>
        <w:rPr>
          <w:rFonts w:ascii="Century Gothic" w:hAnsi="Century Gothic" w:cs="Arial"/>
          <w:b/>
          <w:szCs w:val="20"/>
        </w:rPr>
      </w:pPr>
    </w:p>
    <w:p w14:paraId="597CCEF6" w14:textId="77777777" w:rsidR="000110BF" w:rsidRPr="00531CDA" w:rsidRDefault="00260349" w:rsidP="00260349">
      <w:pPr>
        <w:pStyle w:val="Encabezado"/>
        <w:tabs>
          <w:tab w:val="left" w:pos="708"/>
        </w:tabs>
        <w:spacing w:before="70"/>
        <w:jc w:val="both"/>
        <w:rPr>
          <w:rFonts w:ascii="Century Gothic" w:hAnsi="Century Gothic"/>
          <w:szCs w:val="20"/>
        </w:rPr>
      </w:pPr>
      <w:r w:rsidRPr="00531CDA">
        <w:rPr>
          <w:rFonts w:ascii="Century Gothic" w:hAnsi="Century Gothic"/>
          <w:szCs w:val="20"/>
        </w:rPr>
        <w:t xml:space="preserve">  El Interventor, a la fecha de la firma electrónica al margen.</w:t>
      </w:r>
    </w:p>
    <w:sectPr w:rsidR="000110BF" w:rsidRPr="00531CDA">
      <w:footerReference w:type="default" r:id="rId7"/>
      <w:pgSz w:w="11906" w:h="16838" w:code="9"/>
      <w:pgMar w:top="794" w:right="1134" w:bottom="794" w:left="1134" w:header="851" w:footer="907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AD9C3" w14:textId="77777777" w:rsidR="00726601" w:rsidRDefault="00726601">
      <w:r>
        <w:separator/>
      </w:r>
    </w:p>
  </w:endnote>
  <w:endnote w:type="continuationSeparator" w:id="0">
    <w:p w14:paraId="428F8845" w14:textId="77777777" w:rsidR="00726601" w:rsidRDefault="0072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E9330" w14:textId="77777777" w:rsidR="000110BF" w:rsidRDefault="000110BF">
    <w:pPr>
      <w:pStyle w:val="Piedepgina"/>
      <w:jc w:val="right"/>
      <w:rPr>
        <w:b/>
        <w:bCs w:val="0"/>
        <w:color w:val="004765"/>
        <w:sz w:val="16"/>
      </w:rPr>
    </w:pPr>
  </w:p>
  <w:p w14:paraId="1BE15522" w14:textId="77777777" w:rsidR="000110BF" w:rsidRDefault="000110BF">
    <w:pPr>
      <w:pStyle w:val="Piedepgina"/>
      <w:jc w:val="right"/>
      <w:rPr>
        <w:sz w:val="16"/>
      </w:rPr>
    </w:pPr>
    <w:r>
      <w:rPr>
        <w:b/>
        <w:bCs w:val="0"/>
        <w:color w:val="004765"/>
        <w:sz w:val="16"/>
      </w:rPr>
      <w:t>Página</w:t>
    </w:r>
    <w:r>
      <w:rPr>
        <w:sz w:val="16"/>
      </w:rPr>
      <w:t xml:space="preserve">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2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 xml:space="preserve"> /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2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E004D" w14:textId="77777777" w:rsidR="00726601" w:rsidRDefault="00726601">
      <w:r>
        <w:separator/>
      </w:r>
    </w:p>
  </w:footnote>
  <w:footnote w:type="continuationSeparator" w:id="0">
    <w:p w14:paraId="4CF35482" w14:textId="77777777" w:rsidR="00726601" w:rsidRDefault="00726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45E02"/>
    <w:multiLevelType w:val="hybridMultilevel"/>
    <w:tmpl w:val="C064623A"/>
    <w:lvl w:ilvl="0" w:tplc="FFFFFFFF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955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93"/>
    <w:rsid w:val="000110BF"/>
    <w:rsid w:val="00040845"/>
    <w:rsid w:val="0006221A"/>
    <w:rsid w:val="00062FCE"/>
    <w:rsid w:val="000C268E"/>
    <w:rsid w:val="000D2945"/>
    <w:rsid w:val="000E7181"/>
    <w:rsid w:val="00126C2B"/>
    <w:rsid w:val="00130BD4"/>
    <w:rsid w:val="00132958"/>
    <w:rsid w:val="00154840"/>
    <w:rsid w:val="001D111A"/>
    <w:rsid w:val="00204A99"/>
    <w:rsid w:val="00236B0C"/>
    <w:rsid w:val="00260349"/>
    <w:rsid w:val="00296FC6"/>
    <w:rsid w:val="002C507E"/>
    <w:rsid w:val="00315C42"/>
    <w:rsid w:val="00360493"/>
    <w:rsid w:val="00377FD5"/>
    <w:rsid w:val="00416F38"/>
    <w:rsid w:val="00442D93"/>
    <w:rsid w:val="004473F6"/>
    <w:rsid w:val="00472977"/>
    <w:rsid w:val="00476CBB"/>
    <w:rsid w:val="004C665F"/>
    <w:rsid w:val="00531CDA"/>
    <w:rsid w:val="00582E9B"/>
    <w:rsid w:val="005C5371"/>
    <w:rsid w:val="00613316"/>
    <w:rsid w:val="006B17D7"/>
    <w:rsid w:val="00726601"/>
    <w:rsid w:val="00787BE3"/>
    <w:rsid w:val="007B136E"/>
    <w:rsid w:val="007C086C"/>
    <w:rsid w:val="00802979"/>
    <w:rsid w:val="00836FC4"/>
    <w:rsid w:val="00837923"/>
    <w:rsid w:val="00847B10"/>
    <w:rsid w:val="00891A19"/>
    <w:rsid w:val="008E175E"/>
    <w:rsid w:val="008F2B66"/>
    <w:rsid w:val="008F71D6"/>
    <w:rsid w:val="00960F45"/>
    <w:rsid w:val="009D6C6D"/>
    <w:rsid w:val="00A3033E"/>
    <w:rsid w:val="00A34610"/>
    <w:rsid w:val="00A717A5"/>
    <w:rsid w:val="00B11DD0"/>
    <w:rsid w:val="00B25415"/>
    <w:rsid w:val="00BA7274"/>
    <w:rsid w:val="00BE3EDB"/>
    <w:rsid w:val="00BE554E"/>
    <w:rsid w:val="00C64970"/>
    <w:rsid w:val="00C863D6"/>
    <w:rsid w:val="00CC1B4B"/>
    <w:rsid w:val="00D0361F"/>
    <w:rsid w:val="00D23DDF"/>
    <w:rsid w:val="00D56C4B"/>
    <w:rsid w:val="00D81575"/>
    <w:rsid w:val="00D817A3"/>
    <w:rsid w:val="00D95710"/>
    <w:rsid w:val="00EB5E3F"/>
    <w:rsid w:val="00EE52D9"/>
    <w:rsid w:val="00F04079"/>
    <w:rsid w:val="00F27239"/>
    <w:rsid w:val="00F34633"/>
    <w:rsid w:val="00F66F8D"/>
    <w:rsid w:val="00F9488A"/>
    <w:rsid w:val="00F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55E920"/>
  <w15:chartTrackingRefBased/>
  <w15:docId w15:val="{44B76C83-ECC4-4C8E-8382-F32E93F8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bCs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70"/>
      <w:jc w:val="right"/>
      <w:outlineLvl w:val="1"/>
    </w:pPr>
    <w:rPr>
      <w:b/>
      <w:bCs w:val="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semiHidden/>
    <w:rPr>
      <w:rFonts w:ascii="Times New Roman" w:hAnsi="Times New Roman"/>
      <w:b/>
      <w:color w:val="000080"/>
      <w:szCs w:val="20"/>
      <w:lang w:eastAsia="en-US"/>
    </w:rPr>
  </w:style>
  <w:style w:type="table" w:styleId="Tablaconcuadrcula">
    <w:name w:val="Table Grid"/>
    <w:basedOn w:val="Tablanormal"/>
    <w:rsid w:val="00891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836FC4"/>
    <w:rPr>
      <w:rFonts w:ascii="Arial" w:hAnsi="Arial"/>
      <w:bCs/>
      <w:szCs w:val="24"/>
    </w:rPr>
  </w:style>
  <w:style w:type="paragraph" w:customStyle="1" w:styleId="Header2">
    <w:name w:val="Header2"/>
    <w:basedOn w:val="Normal"/>
    <w:rsid w:val="00836FC4"/>
    <w:pPr>
      <w:widowControl w:val="0"/>
      <w:suppressLineNumbers/>
      <w:tabs>
        <w:tab w:val="right" w:pos="9637"/>
      </w:tabs>
      <w:suppressAutoHyphens/>
    </w:pPr>
    <w:rPr>
      <w:rFonts w:ascii="Times New Roman" w:eastAsia="Lucida Sans Unicode" w:hAnsi="Times New Roman"/>
      <w:bCs w:val="0"/>
      <w:kern w:val="1"/>
      <w:sz w:val="22"/>
      <w:lang w:eastAsia="en-US"/>
    </w:rPr>
  </w:style>
  <w:style w:type="character" w:styleId="Referenciaintensa">
    <w:name w:val="Intense Reference"/>
    <w:basedOn w:val="Fuentedeprrafopredeter"/>
    <w:uiPriority w:val="32"/>
    <w:qFormat/>
    <w:rsid w:val="000C268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Aguayo Serrano</dc:creator>
  <cp:keywords/>
  <dc:description/>
  <cp:lastModifiedBy>powerbi ITS Duero S.L.</cp:lastModifiedBy>
  <cp:revision>11</cp:revision>
  <cp:lastPrinted>2025-04-04T10:24:00Z</cp:lastPrinted>
  <dcterms:created xsi:type="dcterms:W3CDTF">2025-04-17T18:22:00Z</dcterms:created>
  <dcterms:modified xsi:type="dcterms:W3CDTF">2025-04-19T06:24:00Z</dcterms:modified>
</cp:coreProperties>
</file>