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B0D48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sz w:val="28"/>
          <w:lang w:val="es-ES_tradnl"/>
        </w:rPr>
        <w:t>PLIEGO DE CLÁUSULAS ADMINISTRATIVAS PARTICULARES PARA CONTRATO DE SERVICIOS POR PROCEDIMIENTO ABIERTO SIMPLIFICADO SUMARIO (SIN MESA DE CONTRATACIÓN)</w:t>
      </w:r>
    </w:p>
    <w:p w14:paraId="5829799E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PRIMERA. Objeto y calificación</w:t>
      </w:r>
    </w:p>
    <w:p w14:paraId="4A2B82E8" w14:textId="77777777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>1.1 Descripción del objeto del contrato</w:t>
      </w:r>
      <w:r w:rsidRPr="00333125">
        <w:rPr>
          <w:lang w:val="es-ES_tradnl"/>
        </w:rPr>
        <w:br/>
      </w:r>
      <w:r w:rsidRPr="00333125">
        <w:rPr>
          <w:lang w:val="es-ES_tradnl"/>
        </w:rPr>
        <w:br/>
        <w:t>Objeto del contrato: Aplicación de Gestión y Recaudación tributaria de los recursos propios de la Diputación de Soria.</w:t>
      </w:r>
      <w:r w:rsidRPr="00333125">
        <w:rPr>
          <w:lang w:val="es-ES_tradnl"/>
        </w:rPr>
        <w:br/>
      </w:r>
      <w:r w:rsidRPr="00333125">
        <w:rPr>
          <w:lang w:val="es-ES_tradnl"/>
        </w:rPr>
        <w:br/>
        <w:t>Necesidad a satisfacer: Gestión adecuada de los recursos propios de la Diputación de Soria, con especial atención a facilitar su control y contabilización automatizada.</w:t>
      </w:r>
      <w:r w:rsidRPr="00333125">
        <w:rPr>
          <w:lang w:val="es-ES_tradnl"/>
        </w:rPr>
        <w:br/>
      </w:r>
      <w:r w:rsidRPr="00333125">
        <w:rPr>
          <w:lang w:val="es-ES_tradnl"/>
        </w:rPr>
        <w:br/>
        <w:t>El contrato definido tiene la calificación de contrato administrativo de servicios, de acuerdo con el artículo 17 de la Ley 9/2017, de 8 de noviembre, de Contratos del Sector Público.</w:t>
      </w:r>
      <w:r w:rsidRPr="00333125">
        <w:rPr>
          <w:lang w:val="es-ES_tradnl"/>
        </w:rPr>
        <w:br/>
      </w:r>
      <w:r w:rsidRPr="00333125">
        <w:rPr>
          <w:lang w:val="es-ES_tradnl"/>
        </w:rPr>
        <w:br/>
        <w:t>1.2 División en lotes del objeto del contrato. No.</w:t>
      </w:r>
      <w:r w:rsidRPr="00333125">
        <w:rPr>
          <w:lang w:val="es-ES_tradnl"/>
        </w:rPr>
        <w:br/>
      </w:r>
      <w:r w:rsidRPr="00333125">
        <w:rPr>
          <w:lang w:val="es-ES_tradnl"/>
        </w:rPr>
        <w:br/>
        <w:t xml:space="preserve">1.3 Códigos </w:t>
      </w:r>
      <w:proofErr w:type="spellStart"/>
      <w:r w:rsidRPr="00333125">
        <w:rPr>
          <w:lang w:val="es-ES_tradnl"/>
        </w:rPr>
        <w:t>CPV</w:t>
      </w:r>
      <w:proofErr w:type="spellEnd"/>
      <w:r w:rsidRPr="00333125">
        <w:rPr>
          <w:lang w:val="es-ES_tradnl"/>
        </w:rPr>
        <w:t>: 48000000-8 – Paquetes de software y sistemas de información.</w:t>
      </w:r>
    </w:p>
    <w:p w14:paraId="0249D653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SEGUNDA. Procedimiento de Selección y Adjudicación</w:t>
      </w:r>
    </w:p>
    <w:p w14:paraId="65AFF209" w14:textId="77777777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>El contrato se adjudicará mediante procedimiento abierto simplificado sumario, utilizando una pluralidad de criterios de adjudicación conforme a la mejor relación calidad-precio.</w:t>
      </w:r>
    </w:p>
    <w:p w14:paraId="29E532D7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TERCERA. Perfil de contratante</w:t>
      </w:r>
    </w:p>
    <w:p w14:paraId="58DC3E57" w14:textId="77777777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>El anuncio de licitación y acceso a los pliegos se realizará a través del Perfil de Contratante disponible en la Plataforma de Contratación del Sector Público.</w:t>
      </w:r>
    </w:p>
    <w:p w14:paraId="14508073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CUARTA. Presupuesto Base de Licitación y Valor Estimado del Contrato</w:t>
      </w:r>
    </w:p>
    <w:p w14:paraId="6F5C8461" w14:textId="77777777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 xml:space="preserve">Presupuesto base: 60.000 €  </w:t>
      </w:r>
      <w:r w:rsidRPr="00333125">
        <w:rPr>
          <w:lang w:val="es-ES_tradnl"/>
        </w:rPr>
        <w:br/>
        <w:t xml:space="preserve">IVA (21%): 12.600 €  </w:t>
      </w:r>
      <w:r w:rsidRPr="00333125">
        <w:rPr>
          <w:lang w:val="es-ES_tradnl"/>
        </w:rPr>
        <w:br/>
        <w:t xml:space="preserve">Total: 72.600 €  </w:t>
      </w:r>
      <w:r w:rsidRPr="00333125">
        <w:rPr>
          <w:lang w:val="es-ES_tradnl"/>
        </w:rPr>
        <w:br/>
        <w:t>Valor estimado del contrato: 60.000 € (IVA excluido)</w:t>
      </w:r>
    </w:p>
    <w:p w14:paraId="4B4F7DD1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QUINTA. Crédito presupuestario</w:t>
      </w:r>
    </w:p>
    <w:p w14:paraId="439A8913" w14:textId="0CBFD19D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lastRenderedPageBreak/>
        <w:t xml:space="preserve">Tramitación </w:t>
      </w:r>
      <w:r w:rsidR="00333125" w:rsidRPr="00333125">
        <w:rPr>
          <w:lang w:val="es-ES_tradnl"/>
        </w:rPr>
        <w:t>A</w:t>
      </w:r>
      <w:r w:rsidRPr="00333125">
        <w:rPr>
          <w:lang w:val="es-ES_tradnl"/>
        </w:rPr>
        <w:t>nticipada.</w:t>
      </w:r>
    </w:p>
    <w:p w14:paraId="1A89890D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SEXTA. Revisión de precios</w:t>
      </w:r>
    </w:p>
    <w:p w14:paraId="295B87D3" w14:textId="77777777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>No se contempla revisión de precios.</w:t>
      </w:r>
    </w:p>
    <w:p w14:paraId="377663CC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SÉPTIMA. Plazo de Ejecución y Emplazamiento</w:t>
      </w:r>
    </w:p>
    <w:p w14:paraId="53DF6126" w14:textId="77777777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>El plazo de ejecución del contrato será de 2 años: ejercicios 2026 y 2027.</w:t>
      </w:r>
    </w:p>
    <w:p w14:paraId="3B9ED90E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DÉCIMA. Criterios de Adjudicación</w:t>
      </w:r>
    </w:p>
    <w:p w14:paraId="57F9B74A" w14:textId="0C3F624D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>A. Criterios cuantificables automáticamente:</w:t>
      </w:r>
      <w:r w:rsidRPr="00333125">
        <w:rPr>
          <w:lang w:val="es-ES_tradnl"/>
        </w:rPr>
        <w:br/>
      </w:r>
      <w:r w:rsidRPr="00333125">
        <w:rPr>
          <w:lang w:val="es-ES_tradnl"/>
        </w:rPr>
        <w:br/>
        <w:t xml:space="preserve">1. Integración con la plataforma Gestiona: hasta </w:t>
      </w:r>
      <w:r w:rsidR="00333125" w:rsidRPr="00333125">
        <w:rPr>
          <w:lang w:val="es-ES_tradnl"/>
        </w:rPr>
        <w:t>…</w:t>
      </w:r>
      <w:r w:rsidRPr="00333125">
        <w:rPr>
          <w:lang w:val="es-ES_tradnl"/>
        </w:rPr>
        <w:t xml:space="preserve"> puntos  </w:t>
      </w:r>
      <w:r w:rsidRPr="00333125">
        <w:rPr>
          <w:lang w:val="es-ES_tradnl"/>
        </w:rPr>
        <w:br/>
        <w:t xml:space="preserve">2. Integración con el sistema contable </w:t>
      </w:r>
      <w:proofErr w:type="spellStart"/>
      <w:r w:rsidRPr="00333125">
        <w:rPr>
          <w:lang w:val="es-ES_tradnl"/>
        </w:rPr>
        <w:t>Spai</w:t>
      </w:r>
      <w:proofErr w:type="spellEnd"/>
      <w:r w:rsidRPr="00333125">
        <w:rPr>
          <w:lang w:val="es-ES_tradnl"/>
        </w:rPr>
        <w:t xml:space="preserve"> </w:t>
      </w:r>
      <w:proofErr w:type="spellStart"/>
      <w:r w:rsidRPr="00333125">
        <w:rPr>
          <w:lang w:val="es-ES_tradnl"/>
        </w:rPr>
        <w:t>SICAL</w:t>
      </w:r>
      <w:proofErr w:type="spellEnd"/>
      <w:r w:rsidRPr="00333125">
        <w:rPr>
          <w:lang w:val="es-ES_tradnl"/>
        </w:rPr>
        <w:t xml:space="preserve">: hasta </w:t>
      </w:r>
      <w:r w:rsidR="00333125" w:rsidRPr="00333125">
        <w:rPr>
          <w:lang w:val="es-ES_tradnl"/>
        </w:rPr>
        <w:t xml:space="preserve">… </w:t>
      </w:r>
      <w:r w:rsidRPr="00333125">
        <w:rPr>
          <w:lang w:val="es-ES_tradnl"/>
        </w:rPr>
        <w:t xml:space="preserve">puntos  </w:t>
      </w:r>
      <w:r w:rsidRPr="00333125">
        <w:rPr>
          <w:lang w:val="es-ES_tradnl"/>
        </w:rPr>
        <w:br/>
        <w:t xml:space="preserve">3. Contabilización automatizada de los ingresos: hasta </w:t>
      </w:r>
      <w:r w:rsidR="00333125" w:rsidRPr="00333125">
        <w:rPr>
          <w:lang w:val="es-ES_tradnl"/>
        </w:rPr>
        <w:t>…</w:t>
      </w:r>
      <w:r w:rsidRPr="00333125">
        <w:rPr>
          <w:lang w:val="es-ES_tradnl"/>
        </w:rPr>
        <w:t xml:space="preserve"> puntos</w:t>
      </w:r>
    </w:p>
    <w:p w14:paraId="21F97D7B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OCTAVA. Acreditación de la Aptitud para Contratar</w:t>
      </w:r>
    </w:p>
    <w:p w14:paraId="13C1C0D2" w14:textId="77777777" w:rsidR="00333125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>Podrán presentar proposiciones las personas naturales o jurídicas, españolas o extranjeras, que tengan plena capacidad de obrar y no estén incursas en prohibiciones de contratar.</w:t>
      </w:r>
    </w:p>
    <w:p w14:paraId="7B4FAB3A" w14:textId="76AADBDE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br/>
        <w:t>La capacidad de obrar y la no concurrencia de prohibiciones se acreditará mediante la inscripción en el Registro Oficial de Licitadores y Empresas Clasificadas del Sector Público.</w:t>
      </w:r>
    </w:p>
    <w:p w14:paraId="3A68BE37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NOVENA. Presentación de Proposiciones y Documentación Administrativa</w:t>
      </w:r>
    </w:p>
    <w:p w14:paraId="5F561E6B" w14:textId="77777777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>Las proposiciones se presentarán electrónicamente a través de la Plataforma de Contratación del Sector Público. La presentación implicará la aceptación incondicionada de los pliegos por parte del licitador.</w:t>
      </w:r>
      <w:r w:rsidRPr="00333125">
        <w:rPr>
          <w:lang w:val="es-ES_tradnl"/>
        </w:rPr>
        <w:br/>
      </w:r>
      <w:r w:rsidRPr="00333125">
        <w:rPr>
          <w:lang w:val="es-ES_tradnl"/>
        </w:rPr>
        <w:br/>
        <w:t>El plazo de presentación será de 15 días naturales a partir del día siguiente a la publicación del anuncio.</w:t>
      </w:r>
      <w:r w:rsidRPr="00333125">
        <w:rPr>
          <w:lang w:val="es-ES_tradnl"/>
        </w:rPr>
        <w:br/>
      </w:r>
      <w:r w:rsidRPr="00333125">
        <w:rPr>
          <w:lang w:val="es-ES_tradnl"/>
        </w:rPr>
        <w:br/>
        <w:t>Cada oferta deberá incluir:</w:t>
      </w:r>
      <w:r w:rsidRPr="00333125">
        <w:rPr>
          <w:lang w:val="es-ES_tradnl"/>
        </w:rPr>
        <w:br/>
        <w:t>- Declaración responsable del licitador.</w:t>
      </w:r>
      <w:r w:rsidRPr="00333125">
        <w:rPr>
          <w:lang w:val="es-ES_tradnl"/>
        </w:rPr>
        <w:br/>
        <w:t>- Proposición económica.</w:t>
      </w:r>
      <w:r w:rsidRPr="00333125">
        <w:rPr>
          <w:lang w:val="es-ES_tradnl"/>
        </w:rPr>
        <w:br/>
        <w:t>- Documentos evaluables automáticamente.</w:t>
      </w:r>
    </w:p>
    <w:p w14:paraId="05D9D1EE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UNDÉCIMA. Admisibilidad de Variantes</w:t>
      </w:r>
    </w:p>
    <w:p w14:paraId="10574FE3" w14:textId="77777777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lastRenderedPageBreak/>
        <w:t>No se admitirán variantes.</w:t>
      </w:r>
    </w:p>
    <w:p w14:paraId="00A06254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DUODÉCIMA. Ofertas Anormalmente Bajas</w:t>
      </w:r>
    </w:p>
    <w:p w14:paraId="23E8E019" w14:textId="77777777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 xml:space="preserve">Si alguna oferta incurre en presunción de anormalidad, se concederá al licitador un plazo de cinco días hábiles para justificar su viabilidad, conforme al artículo 149.4 de la </w:t>
      </w:r>
      <w:proofErr w:type="spellStart"/>
      <w:r w:rsidRPr="00333125">
        <w:rPr>
          <w:lang w:val="es-ES_tradnl"/>
        </w:rPr>
        <w:t>LCSP</w:t>
      </w:r>
      <w:proofErr w:type="spellEnd"/>
      <w:r w:rsidRPr="00333125">
        <w:rPr>
          <w:lang w:val="es-ES_tradnl"/>
        </w:rPr>
        <w:t>.</w:t>
      </w:r>
    </w:p>
    <w:p w14:paraId="37E9DFAC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DECIMOTERCERA. Preferencias de Adjudicación en caso de Empates</w:t>
      </w:r>
    </w:p>
    <w:p w14:paraId="22369E7E" w14:textId="77777777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>En caso de empate en la puntuación final, se utilizarán los siguientes criterios de desempate, en orden:</w:t>
      </w:r>
      <w:r w:rsidRPr="00333125">
        <w:rPr>
          <w:lang w:val="es-ES_tradnl"/>
        </w:rPr>
        <w:br/>
        <w:t>1.º Menor huella de carbono en la ejecución del contrato.</w:t>
      </w:r>
      <w:r w:rsidRPr="00333125">
        <w:rPr>
          <w:lang w:val="es-ES_tradnl"/>
        </w:rPr>
        <w:br/>
        <w:t>2.º Mayor porcentaje de plantilla con discapacidad.</w:t>
      </w:r>
      <w:r w:rsidRPr="00333125">
        <w:rPr>
          <w:lang w:val="es-ES_tradnl"/>
        </w:rPr>
        <w:br/>
        <w:t>3.º Empresas con planes de igualdad registrados.</w:t>
      </w:r>
      <w:r w:rsidRPr="00333125">
        <w:rPr>
          <w:lang w:val="es-ES_tradnl"/>
        </w:rPr>
        <w:br/>
      </w:r>
      <w:r w:rsidRPr="00333125">
        <w:rPr>
          <w:lang w:val="es-ES_tradnl"/>
        </w:rPr>
        <w:br/>
        <w:t>La documentación se aportará cuando se produzca el empate.</w:t>
      </w:r>
    </w:p>
    <w:p w14:paraId="246B1135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DECIMOCUARTA. Apertura de Proposiciones</w:t>
      </w:r>
    </w:p>
    <w:p w14:paraId="3A7FD208" w14:textId="77777777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>La apertura de proposiciones será electrónica, a través de la Plataforma de Contratación del Sector Público, y no será pública. Se garantizará la confidencialidad hasta su apertura.</w:t>
      </w:r>
      <w:r w:rsidRPr="00333125">
        <w:rPr>
          <w:lang w:val="es-ES_tradnl"/>
        </w:rPr>
        <w:br/>
      </w:r>
      <w:r w:rsidRPr="00333125">
        <w:rPr>
          <w:lang w:val="es-ES_tradnl"/>
        </w:rPr>
        <w:br/>
        <w:t>La valoración se realizará conforme a los criterios del presente pliego.</w:t>
      </w:r>
    </w:p>
    <w:p w14:paraId="54A94416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DECIMOQUINTA. Adjudicación del Contrato</w:t>
      </w:r>
    </w:p>
    <w:p w14:paraId="7CA5EF42" w14:textId="77777777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>En un plazo de 2 días desde la finalización del plazo de presentación, se adjudicará el contrato al licitador con mejor puntuación. La adjudicación será notificada y publicada en el Perfil de Contratante.</w:t>
      </w:r>
    </w:p>
    <w:p w14:paraId="04D8AD11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DECIMOSEXTA. Formalización del Contrato</w:t>
      </w:r>
    </w:p>
    <w:p w14:paraId="077422D8" w14:textId="77777777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>El contrato se perfeccionará con su formalización por el adjudicatario. Este deberá declarar la ubicación de los servidores y comunicar cualquier modificación durante la vigencia del contrato.</w:t>
      </w:r>
    </w:p>
    <w:p w14:paraId="0D697EC1" w14:textId="77777777" w:rsidR="00FE2F76" w:rsidRPr="00333125" w:rsidRDefault="00000000" w:rsidP="00333125">
      <w:pPr>
        <w:rPr>
          <w:lang w:val="es-ES_tradnl"/>
        </w:rPr>
      </w:pPr>
      <w:r w:rsidRPr="00333125">
        <w:rPr>
          <w:b/>
          <w:lang w:val="es-ES_tradnl"/>
        </w:rPr>
        <w:t>CLÁUSULA DECIMOSÉPTIMA. Condiciones Especiales de Ejecución</w:t>
      </w:r>
    </w:p>
    <w:p w14:paraId="23307421" w14:textId="05C59A28" w:rsidR="00FE2F76" w:rsidRPr="00333125" w:rsidRDefault="00000000" w:rsidP="00333125">
      <w:pPr>
        <w:rPr>
          <w:lang w:val="es-ES_tradnl"/>
        </w:rPr>
      </w:pPr>
      <w:r w:rsidRPr="00333125">
        <w:rPr>
          <w:lang w:val="es-ES_tradnl"/>
        </w:rPr>
        <w:t>Se establece como condición especial de ejecución la obligación de garantizar</w:t>
      </w:r>
      <w:r w:rsidR="00333125" w:rsidRPr="00333125">
        <w:rPr>
          <w:lang w:val="es-ES_tradnl"/>
        </w:rPr>
        <w:t xml:space="preserve"> ..</w:t>
      </w:r>
      <w:r w:rsidRPr="00333125">
        <w:rPr>
          <w:lang w:val="es-ES_tradnl"/>
        </w:rPr>
        <w:t>.</w:t>
      </w:r>
    </w:p>
    <w:sectPr w:rsidR="00FE2F76" w:rsidRPr="003331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815569">
    <w:abstractNumId w:val="8"/>
  </w:num>
  <w:num w:numId="2" w16cid:durableId="287441372">
    <w:abstractNumId w:val="6"/>
  </w:num>
  <w:num w:numId="3" w16cid:durableId="140927019">
    <w:abstractNumId w:val="5"/>
  </w:num>
  <w:num w:numId="4" w16cid:durableId="251739797">
    <w:abstractNumId w:val="4"/>
  </w:num>
  <w:num w:numId="5" w16cid:durableId="308554120">
    <w:abstractNumId w:val="7"/>
  </w:num>
  <w:num w:numId="6" w16cid:durableId="1045980422">
    <w:abstractNumId w:val="3"/>
  </w:num>
  <w:num w:numId="7" w16cid:durableId="593903268">
    <w:abstractNumId w:val="2"/>
  </w:num>
  <w:num w:numId="8" w16cid:durableId="2039037024">
    <w:abstractNumId w:val="1"/>
  </w:num>
  <w:num w:numId="9" w16cid:durableId="185068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E48"/>
    <w:rsid w:val="0015074B"/>
    <w:rsid w:val="0029639D"/>
    <w:rsid w:val="00326F90"/>
    <w:rsid w:val="00333125"/>
    <w:rsid w:val="003E376E"/>
    <w:rsid w:val="00AA1D8D"/>
    <w:rsid w:val="00B47730"/>
    <w:rsid w:val="00CB0664"/>
    <w:rsid w:val="00FC693F"/>
    <w:rsid w:val="00FE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FA358F"/>
  <w14:defaultImageDpi w14:val="300"/>
  <w15:docId w15:val="{BFE532FD-9D9E-45C6-B2E2-ACF6A0CF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powerbi ITS Duero S.L.</cp:lastModifiedBy>
  <cp:revision>2</cp:revision>
  <dcterms:created xsi:type="dcterms:W3CDTF">2025-05-11T16:32:00Z</dcterms:created>
  <dcterms:modified xsi:type="dcterms:W3CDTF">2025-05-11T16:32:00Z</dcterms:modified>
  <cp:category/>
</cp:coreProperties>
</file>