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>
        <w:t>Informe De Intervención Del Expediente De Modificación Presupuestaria En Su Modalidad De: Suplemento de Crédito.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rPr/>
      </w:pPr>
      <w:r>
        <w:t>Tipo de informe: 002.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Entidad: MARBELLA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Fecha: 2025-05-01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</w:rPr>
      </w:pPr>
      <w:r/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 xml:space="preserve">  A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 que completa la mentada Ley en su aspecto presupuestario, así como de las Bases de Ejecución del Presupuesto de esta Entidad, INFORMO: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>
        <w:t xml:space="preserve"> Primero: La gestión de este Ayuntamiento, en orden al cumplimiento de sus programas y proyectos, necesitan aumentar el crédito de las aplicaciones presupuestarias en los términos que se detallan a continuación, en la figura de SUPLEMENTOS DE CRÉDITO, con el siguiente detalle:</w:t>
      </w:r>
    </w:p>
    <w:p w:rsidR="00000000" w:rsidDel="00000000" w:rsidP="00000000" w:rsidRDefault="00000000" w:rsidRPr="00000000" w14:paraId="0000000B">
      <w:pPr>
        <w:jc w:val="both"/>
        <w:rPr>
          <w:b w:val="1"/>
          <w:smallCaps w:val="1"/>
          <w:color w:val="4472c4"/>
        </w:rPr>
      </w:pPr>
      <w:r>
        <w:t>&lt;&lt;GAS&gt;&gt;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Segundo: Para financiar la modificación presupuestaria, se cuenta con los siguientes recursos: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>
        <w:t>&lt;&lt;ING&gt;&gt;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Tercero: Los gastos que se pretenden incluir dentro del citado Presupuesto, no pueden demorarse para el ejercicio siguiente, sin perjuicio para los intereses generales de la entidad por ser urgentes y de necesaria realización.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3">
      <w:pPr>
        <w:jc w:val="both"/>
        <w:rPr>
          <w:b w:val="1"/>
          <w:smallCaps w:val="1"/>
          <w:color w:val="4472c4"/>
        </w:rPr>
      </w:pPr>
      <w:r>
        <w:t xml:space="preserve">  CONCLUSIÓN: Visto el expediente de Modificación Presupuestaria, presentado por la Presidencia, y considerando que se ajusta a Derecho, esta Intervención Informa en sentido [res]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 No obstante, se advierte que la tramitación de este expediente podría generar inestabilidad presupuestaria a final de ejercicio, por financiar gastos no financieros -capítulos 2, 4 y 6-, con recursos financieros, -capítulo 8-, conforme a la Circular nº 2 de la IGAE de 11 de marzo de 1985, en cuanto no se ve afectada por la Ley de Estabilidad de 2001 y LOEPSF de 2012.</w:t>
      </w:r>
    </w:p>
    <w:p w:rsidR="00000000" w:rsidDel="00000000" w:rsidP="00000000" w:rsidRDefault="00000000" w:rsidRPr="00000000" w14:paraId="00000016">
      <w:pPr>
        <w:rPr/>
      </w:pPr>
      <w:r/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sz w:val="24"/>
          <w:szCs w:val="24"/>
        </w:rPr>
      </w:pPr>
      <w:r>
        <w:t>Resultado del Informe: [res]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sz w:val="24"/>
          <w:szCs w:val="24"/>
        </w:rPr>
      </w:pPr>
      <w:r>
        <w:t>EL INTERVENTOR: MARTA GARRIDO PINTADO</w:t>
        <w:br/>
        <w:t xml:space="preserve">  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/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</w:rPr>
      </w:pPr>
      <w:r/>
    </w:p>
    <w:sectPr>
      <w:footerReference r:id="rId7" w:type="default"/>
      <w:pgSz w:h="16838" w:w="11906" w:orient="portrait"/>
      <w:pgMar w:bottom="794" w:top="794" w:left="1134" w:right="1134" w:header="851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bCs w:val="1"/>
      <w:szCs w:val="24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cs="Arial"/>
      <w:b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spacing w:before="70"/>
      <w:jc w:val="right"/>
      <w:outlineLvl w:val="1"/>
    </w:pPr>
    <w:rPr>
      <w:b w:val="1"/>
      <w:bCs w:val="0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semiHidden w:val="1"/>
    <w:rPr>
      <w:rFonts w:ascii="Courier New" w:cs="Courier New" w:hAnsi="Courier New"/>
      <w:szCs w:val="20"/>
    </w:r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semiHidden w:val="1"/>
    <w:rPr>
      <w:rFonts w:ascii="Times New Roman" w:hAnsi="Times New Roman"/>
      <w:b w:val="1"/>
      <w:color w:val="000080"/>
      <w:szCs w:val="20"/>
      <w:lang w:eastAsia="en-US"/>
    </w:rPr>
  </w:style>
  <w:style w:type="table" w:styleId="Tablaconcuadrcula">
    <w:name w:val="Table Grid"/>
    <w:basedOn w:val="Tablanormal"/>
    <w:rsid w:val="00891A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link w:val="Encabezado"/>
    <w:rsid w:val="00836FC4"/>
    <w:rPr>
      <w:rFonts w:ascii="Arial" w:hAnsi="Arial"/>
      <w:bCs w:val="1"/>
      <w:szCs w:val="24"/>
    </w:rPr>
  </w:style>
  <w:style w:type="paragraph" w:styleId="Header2" w:customStyle="1">
    <w:name w:val="Header2"/>
    <w:basedOn w:val="Normal"/>
    <w:rsid w:val="00836FC4"/>
    <w:pPr>
      <w:widowControl w:val="0"/>
      <w:suppressLineNumbers w:val="1"/>
      <w:tabs>
        <w:tab w:val="right" w:pos="9637"/>
      </w:tabs>
      <w:suppressAutoHyphens w:val="1"/>
    </w:pPr>
    <w:rPr>
      <w:rFonts w:ascii="Times New Roman" w:eastAsia="Lucida Sans Unicode" w:hAnsi="Times New Roman"/>
      <w:bCs w:val="0"/>
      <w:kern w:val="1"/>
      <w:sz w:val="22"/>
      <w:lang w:eastAsia="en-US"/>
    </w:rPr>
  </w:style>
  <w:style w:type="character" w:styleId="Referenciaintensa">
    <w:name w:val="Intense Reference"/>
    <w:basedOn w:val="Fuentedeprrafopredeter"/>
    <w:uiPriority w:val="32"/>
    <w:qFormat w:val="1"/>
    <w:rsid w:val="000C268E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J6CLoh+/pDLl4tp+0hci1BJkQ==">CgMxLjA4AHIhMThkSWZ5MkllX0VCTzl1dVhhVEdnRDVkWXg3MVN5YlJp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2025-04-17T18:22:00Z</dcterms:created>
  <dc:creator>Francisco Aguayo Serrano</dc:creator>
</cp:coreProperties>
</file>