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>
        <w:t>Informe De Intervención Del Expediente De Modificación Presupuestaria En Su Modalidad De: Suplemento de Crédito.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/>
      </w:pPr>
      <w:r>
        <w:t>Tipo de informe: DEF.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Entidad: MARBELLA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Fecha: 2025-05-01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</w:rPr>
      </w:pPr>
      <w:r/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 xml:space="preserve">  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>
        <w:t xml:space="preserve"> 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 w:rsidR="00000000" w:rsidDel="00000000" w:rsidP="00000000" w:rsidRDefault="00000000" w:rsidRPr="00000000" w14:paraId="0000000B">
      <w:pPr>
        <w:jc w:val="both"/>
        <w:rPr>
          <w:b w:val="1"/>
          <w:smallCaps w:val="1"/>
          <w:color w:val="4472c4"/>
        </w:rPr>
      </w:pPr>
      <w:r>
        <w:t>&lt;&lt;GAS&gt;&gt;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Segundo: Para financiar la modificación presupuestaria, se cuenta con los siguientes recursos: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>
        <w:t>&lt;&lt;ING&gt;&gt;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Tercero: Los gastos que se pretenden incluir dentro del citado Presupuesto, no pueden demorarse para el ejercicio siguiente, sin perjuicio para los intereses generales de la entidad por ser urgentes y de necesaria realización.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3">
      <w:pPr>
        <w:jc w:val="both"/>
        <w:rPr>
          <w:b w:val="1"/>
          <w:smallCaps w:val="1"/>
          <w:color w:val="4472c4"/>
        </w:rPr>
      </w:pPr>
      <w:r>
        <w:t xml:space="preserve">  CONCLUSIÓN: Visto el expediente de Modificación Presupuestaria, presentado por la Presidencia, y considerando que se ajusta a Derecho, esta Intervención Informa en sentido [res]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 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 w:rsidR="00000000" w:rsidDel="00000000" w:rsidP="00000000" w:rsidRDefault="00000000" w:rsidRPr="00000000" w14:paraId="00000016">
      <w:pPr>
        <w:rPr/>
      </w:pPr>
      <w:r/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>
        <w:t>Resultado del Informe: [res]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sz w:val="24"/>
          <w:szCs w:val="24"/>
        </w:rPr>
      </w:pPr>
      <w:r>
        <w:t>EL INTERVENTOR: MARTA GARRIDO PINTADO</w:t>
        <w:br/>
        <w:t xml:space="preserve">  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/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</w:rPr>
      </w:pPr>
      <w:r/>
    </w:p>
    <w:sectPr>
      <w:footerReference r:id="rId7" w:type="default"/>
      <w:pgSz w:h="16838" w:w="11906" w:orient="portrait"/>
      <w:pgMar w:bottom="794" w:top="794" w:left="1134" w:right="1134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bCs w:val="1"/>
      <w:szCs w:val="24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before="70"/>
      <w:jc w:val="right"/>
      <w:outlineLvl w:val="1"/>
    </w:pPr>
    <w:rPr>
      <w:b w:val="1"/>
      <w:bCs w:val="0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semiHidden w:val="1"/>
    <w:rPr>
      <w:rFonts w:ascii="Courier New" w:cs="Courier New" w:hAnsi="Courier New"/>
      <w:szCs w:val="20"/>
    </w:r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 w:val="1"/>
    <w:rPr>
      <w:rFonts w:ascii="Times New Roman" w:hAnsi="Times New Roman"/>
      <w:b w:val="1"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rsid w:val="00836FC4"/>
    <w:rPr>
      <w:rFonts w:ascii="Arial" w:hAnsi="Arial"/>
      <w:bCs w:val="1"/>
      <w:szCs w:val="24"/>
    </w:rPr>
  </w:style>
  <w:style w:type="paragraph" w:styleId="Header2" w:customStyle="1">
    <w:name w:val="Header2"/>
    <w:basedOn w:val="Normal"/>
    <w:rsid w:val="00836FC4"/>
    <w:pPr>
      <w:widowControl w:val="0"/>
      <w:suppressLineNumbers w:val="1"/>
      <w:tabs>
        <w:tab w:val="right" w:pos="9637"/>
      </w:tabs>
      <w:suppressAutoHyphens w:val="1"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 w:val="1"/>
    <w:rsid w:val="000C268E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J6CLoh+/pDLl4tp+0hci1BJkQ==">CgMxLjA4AHIhMThkSWZ5MkllX0VCTzl1dVhhVEdnRDVkWXg3MVN5YlJp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2025-04-17T18:22:00Z</dcterms:created>
  <dc:creator>Francisco Aguayo Serrano</dc:creator>
</cp:coreProperties>
</file>