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CenturyGothic-bold.ttf" ContentType="application/x-font-ttf"/>
  <Override PartName="/word/fonts/CenturyGothic-boldItalic.ttf" ContentType="application/x-font-ttf"/>
  <Override PartName="/word/fonts/CenturyGothic-italic.ttf" ContentType="application/x-font-ttf"/>
  <Override PartName="/word/fonts/CenturyGothic-regular.ttf" ContentType="application/x-font-ttf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>
        <w:t>Informe De Intervención Del Expediente De Modificación Presupuestaria En Su Modalidad De: Suplemento de Crédito.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line="276" w:lineRule="auto"/>
        <w:rPr>
          <w:color w:val="434343"/>
          <w:sz w:val="24"/>
          <w:szCs w:val="24"/>
        </w:rPr>
      </w:pPr>
      <w:r>
        <w:t>Tipo de informe: DEF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line="276" w:lineRule="auto"/>
        <w:rPr>
          <w:color w:val="434343"/>
          <w:sz w:val="24"/>
          <w:szCs w:val="24"/>
        </w:rPr>
      </w:pPr>
      <w:r>
        <w:t>Entidad: PUENTE GENIL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line="276" w:lineRule="auto"/>
        <w:rPr>
          <w:color w:val="434343"/>
          <w:sz w:val="24"/>
          <w:szCs w:val="24"/>
        </w:rPr>
      </w:pPr>
      <w:r>
        <w:t>Fecha: 2025-05-02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1"/>
        </w:rPr>
      </w:pPr>
      <w:r/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>
        <w:t xml:space="preserve">  A la vista de la incoación del expediente de Modificación Presupuestaria y en virtud de lo dispuesto en los artículos 150, 177 y siguientes del Real Decreto 2/2004, de 5 de marzo, por el que se aprueba el Texto Refundido de la Ley Reguladora de las Haciendas Locales, de los artículos 34 y siguientes del Real Decreto 500/1990, de 20 de abril, que completa la mentada Ley en su aspecto presupuestario, así como de las Bases de Ejecución del Presupuesto de esta Entidad, INFORMO: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0A">
      <w:pPr>
        <w:jc w:val="both"/>
        <w:rPr>
          <w:rFonts w:ascii="Century Gothic" w:cs="Century Gothic" w:eastAsia="Century Gothic" w:hAnsi="Century Gothic"/>
        </w:rPr>
      </w:pPr>
      <w:r>
        <w:t xml:space="preserve"> Primero: La gestión de este Ayuntamiento, en orden al cumplimiento de sus programas y proyectos, necesitan aumentar el crédito de las aplicaciones presupuestarias en los términos que se detallan a continuación, en la figura de SUPLEMENTOS DE CRÉDITO, con el siguiente detalle:</w:t>
      </w:r>
    </w:p>
    <w:p w:rsidR="00000000" w:rsidDel="00000000" w:rsidP="00000000" w:rsidRDefault="00000000" w:rsidRPr="00000000" w14:paraId="0000000B">
      <w:pPr>
        <w:jc w:val="both"/>
        <w:rPr>
          <w:b w:val="1"/>
          <w:smallCaps w:val="1"/>
          <w:color w:val="4472c4"/>
        </w:rPr>
      </w:pPr>
      <w:r>
        <w:t>&lt;&lt;GAS&gt;&gt;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Segundo: Para financiar la modificación presupuestaria, se cuenta con los siguientes recursos: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4472c4"/>
          <w:sz w:val="20"/>
          <w:szCs w:val="20"/>
          <w:u w:val="none"/>
          <w:shd w:fill="auto" w:val="clear"/>
          <w:vertAlign w:val="baseline"/>
        </w:rPr>
      </w:pPr>
      <w:r>
        <w:t>&lt;&lt;ING&gt;&gt;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 xml:space="preserve"> Tercero: Los gastos que se pretenden incluir dentro del citado Presupuesto, no pueden demorarse para el ejercicio siguiente, sin perjuicio para los intereses generales de la entidad por ser urgentes y de necesaria realización.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20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20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13">
      <w:pPr>
        <w:jc w:val="both"/>
        <w:rPr>
          <w:b w:val="1"/>
          <w:smallCaps w:val="1"/>
          <w:color w:val="4472c4"/>
        </w:rPr>
      </w:pPr>
      <w:r>
        <w:t xml:space="preserve">  CONCLUSIÓN: Visto el expediente de Modificación Presupuestaria, presentado por la Presidencia, y considerando que se ajusta a Derecho, esta Intervención Informa en sentido [res]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20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20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 xml:space="preserve">  No obstante, se advierte que la tramitación de este expediente podría generar inestabilidad presupuestaria a final de ejercicio, por financiar gastos no financieros -capítulos 2, 4 y 6-, con recursos financieros, -capítulo 8-, conforme a la Circular nº 2 de la IGAE de 11 de marzo de 1985, en cuanto no se ve afectada por la Ley de Estabilidad de 2001 y LOEPSF de 2012.</w:t>
      </w:r>
    </w:p>
    <w:p w:rsidR="00000000" w:rsidDel="00000000" w:rsidP="00000000" w:rsidRDefault="00000000" w:rsidRPr="00000000" w14:paraId="00000016">
      <w:pPr>
        <w:rPr/>
      </w:pPr>
      <w:r/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20"/>
        </w:tabs>
        <w:spacing w:after="0" w:before="7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19">
      <w:pPr>
        <w:spacing w:after="240" w:before="240" w:line="276" w:lineRule="auto"/>
        <w:jc w:val="both"/>
        <w:rPr>
          <w:sz w:val="24"/>
          <w:szCs w:val="24"/>
        </w:rPr>
      </w:pPr>
      <w:r>
        <w:t>Resultado del Informe: [res]</w:t>
      </w:r>
    </w:p>
    <w:p w:rsidR="00000000" w:rsidDel="00000000" w:rsidP="00000000" w:rsidRDefault="00000000" w:rsidRPr="00000000" w14:paraId="0000001A">
      <w:pPr>
        <w:spacing w:after="240" w:before="240" w:line="276" w:lineRule="auto"/>
        <w:jc w:val="both"/>
        <w:rPr>
          <w:sz w:val="24"/>
          <w:szCs w:val="24"/>
        </w:rPr>
      </w:pPr>
      <w:r/>
    </w:p>
    <w:p w:rsidR="00000000" w:rsidDel="00000000" w:rsidP="00000000" w:rsidRDefault="00000000" w:rsidRPr="00000000" w14:paraId="0000001B">
      <w:pPr>
        <w:spacing w:after="240" w:before="240" w:line="276" w:lineRule="auto"/>
        <w:jc w:val="both"/>
        <w:rPr>
          <w:sz w:val="24"/>
          <w:szCs w:val="24"/>
        </w:rPr>
      </w:pPr>
      <w:r>
        <w:t>EL INTERVENTOR: Francisco Aguayo Serrano</w:t>
        <w:br/>
        <w:t xml:space="preserve">  </w:t>
      </w:r>
    </w:p>
    <w:p w:rsidR="00000000" w:rsidDel="00000000" w:rsidP="00000000" w:rsidRDefault="00000000" w:rsidRPr="00000000" w14:paraId="0000001C">
      <w:pPr>
        <w:spacing w:after="240" w:before="240" w:line="276" w:lineRule="auto"/>
        <w:jc w:val="both"/>
        <w:rPr>
          <w:sz w:val="24"/>
          <w:szCs w:val="24"/>
        </w:rPr>
      </w:pPr>
      <w:r/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/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</w:rPr>
      </w:pPr>
      <w:r/>
    </w:p>
    <w:sectPr>
      <w:footerReference r:id="rId7" w:type="default"/>
      <w:pgSz w:h="16838" w:w="11906" w:orient="portrait"/>
      <w:pgMar w:bottom="794" w:top="794" w:left="1134" w:right="1134" w:header="851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4765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4765"/>
        <w:sz w:val="16"/>
        <w:szCs w:val="16"/>
        <w:u w:val="none"/>
        <w:shd w:fill="auto" w:val="clear"/>
        <w:vertAlign w:val="baseline"/>
        <w:rtl w:val="0"/>
      </w:rPr>
      <w:t xml:space="preserve">Página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before="70" w:lineRule="auto"/>
      <w:jc w:val="right"/>
    </w:pPr>
    <w:rPr>
      <w:b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hAnsi="Arial"/>
      <w:bCs w:val="1"/>
      <w:szCs w:val="24"/>
    </w:rPr>
  </w:style>
  <w:style w:type="paragraph" w:styleId="Ttulo1">
    <w:name w:val="heading 1"/>
    <w:basedOn w:val="Normal"/>
    <w:next w:val="Normal"/>
    <w:qFormat w:val="1"/>
    <w:pPr>
      <w:keepNext w:val="1"/>
      <w:spacing w:after="60" w:before="240"/>
      <w:outlineLvl w:val="0"/>
    </w:pPr>
    <w:rPr>
      <w:rFonts w:cs="Arial"/>
      <w:bCs w:val="0"/>
      <w:kern w:val="32"/>
      <w:sz w:val="32"/>
      <w:szCs w:val="32"/>
      <w:lang w:eastAsia="en-US"/>
    </w:rPr>
  </w:style>
  <w:style w:type="paragraph" w:styleId="Ttulo2">
    <w:name w:val="heading 2"/>
    <w:basedOn w:val="Normal"/>
    <w:next w:val="Normal"/>
    <w:qFormat w:val="1"/>
    <w:pPr>
      <w:keepNext w:val="1"/>
      <w:spacing w:before="70"/>
      <w:jc w:val="right"/>
      <w:outlineLvl w:val="1"/>
    </w:pPr>
    <w:rPr>
      <w:b w:val="1"/>
      <w:bCs w:val="0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sinformato">
    <w:name w:val="Plain Text"/>
    <w:basedOn w:val="Normal"/>
    <w:semiHidden w:val="1"/>
    <w:rPr>
      <w:rFonts w:ascii="Courier New" w:cs="Courier New" w:hAnsi="Courier New"/>
      <w:szCs w:val="20"/>
    </w:rPr>
  </w:style>
  <w:style w:type="paragraph" w:styleId="Piedepgina">
    <w:name w:val="footer"/>
    <w:basedOn w:val="Normal"/>
    <w:semiHidden w:val="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 w:val="1"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Textoindependiente3">
    <w:name w:val="Body Text 3"/>
    <w:basedOn w:val="Normal"/>
    <w:semiHidden w:val="1"/>
    <w:rPr>
      <w:rFonts w:ascii="Times New Roman" w:hAnsi="Times New Roman"/>
      <w:b w:val="1"/>
      <w:color w:val="000080"/>
      <w:szCs w:val="20"/>
      <w:lang w:eastAsia="en-US"/>
    </w:rPr>
  </w:style>
  <w:style w:type="table" w:styleId="Tablaconcuadrcula">
    <w:name w:val="Table Grid"/>
    <w:basedOn w:val="Tablanormal"/>
    <w:rsid w:val="00891A1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EncabezadoCar" w:customStyle="1">
    <w:name w:val="Encabezado Car"/>
    <w:link w:val="Encabezado"/>
    <w:rsid w:val="00836FC4"/>
    <w:rPr>
      <w:rFonts w:ascii="Arial" w:hAnsi="Arial"/>
      <w:bCs w:val="1"/>
      <w:szCs w:val="24"/>
    </w:rPr>
  </w:style>
  <w:style w:type="paragraph" w:styleId="Header2" w:customStyle="1">
    <w:name w:val="Header2"/>
    <w:basedOn w:val="Normal"/>
    <w:rsid w:val="00836FC4"/>
    <w:pPr>
      <w:widowControl w:val="0"/>
      <w:suppressLineNumbers w:val="1"/>
      <w:tabs>
        <w:tab w:val="right" w:pos="9637"/>
      </w:tabs>
      <w:suppressAutoHyphens w:val="1"/>
    </w:pPr>
    <w:rPr>
      <w:rFonts w:ascii="Times New Roman" w:eastAsia="Lucida Sans Unicode" w:hAnsi="Times New Roman"/>
      <w:bCs w:val="0"/>
      <w:kern w:val="1"/>
      <w:sz w:val="22"/>
      <w:lang w:eastAsia="en-US"/>
    </w:rPr>
  </w:style>
  <w:style w:type="character" w:styleId="Referenciaintensa">
    <w:name w:val="Intense Reference"/>
    <w:basedOn w:val="Fuentedeprrafopredeter"/>
    <w:uiPriority w:val="32"/>
    <w:qFormat w:val="1"/>
    <w:rsid w:val="000C268E"/>
    <w:rPr>
      <w:b w:val="1"/>
      <w:bCs w:val="1"/>
      <w:smallCaps w:val="1"/>
      <w:color w:val="4472c4" w:themeColor="accent1"/>
      <w:spacing w:val="5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zOZ7vjG9ZWeIID81pE9v0z5U8Q==">CgMxLjAyDmguNTZ1cXNmZ2tjMHNpMg5oLjU2dXFzZmdrYzBzaTIOaC41NnVxc2Zna2Mwc2k4AHIhMUxJYjJCUHdyWHRjQWRvN0lYTURoc2xudW50Z2NKSkdN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2025-04-17T18:22:00Z</dcterms:created>
  <dc:creator>Francisco Aguayo Serrano</dc:creator>
</cp:coreProperties>
</file>