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>
        <w:t>Informe De Intervención Del Expediente De Modificación Presupuestaria En Su Modalidad De: Incorporación de Remanentes de Crédito.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Tipo de informe: DEF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Entidad: PUENTE GENIL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Fecha: 2025-05-02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b w:val="1"/>
          <w:sz w:val="24"/>
          <w:szCs w:val="24"/>
        </w:rPr>
      </w:pPr>
      <w:r/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 xml:space="preserve">  A la vista de la documentación obrante en el expediente, y de conformidad con lo dispuesto en el artículo 182 del Real Decreto Legislativo 2/2004, de 5 de marzo, por el que se aprueba el Texto Refundido de la Ley Reguladora de las Haciendas Locales, así como los artículos 51 a 53 del Real Decreto 500/1990, de 20 de abril, INFORMO: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>
        <w:t xml:space="preserve"> Primero: El crédito al que se refiere la presente modificación fue dotado en el ejercicio anterior con financiación afectada, no fue objeto de compromiso de gasto, y se encuentra recogido en la contabilidad como remanente afectado susceptible de incorporación, así como remanente no afectado, susceptible de Incorporación, con el siguiente detalle:</w:t>
      </w:r>
    </w:p>
    <w:p w:rsidR="00000000" w:rsidDel="00000000" w:rsidP="00000000" w:rsidRDefault="00000000" w:rsidRPr="00000000" w14:paraId="0000000B">
      <w:pPr>
        <w:jc w:val="both"/>
        <w:rPr>
          <w:b w:val="1"/>
          <w:smallCaps w:val="1"/>
          <w:color w:val="4472c4"/>
          <w:sz w:val="24"/>
          <w:szCs w:val="24"/>
        </w:rPr>
      </w:pPr>
      <w:r>
        <w:t>&lt;&lt;GAS&gt;&gt;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>Segundo: Para financiar la modificación presupuestaria, se cuenta con los siguientes recursos: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>
        <w:t>&lt;&lt;ING&gt;&gt;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1">
      <w:pPr>
        <w:jc w:val="both"/>
        <w:rPr>
          <w:b w:val="1"/>
          <w:smallCaps w:val="1"/>
          <w:color w:val="4472c4"/>
          <w:sz w:val="24"/>
          <w:szCs w:val="24"/>
        </w:rPr>
      </w:pPr>
      <w:r>
        <w:t xml:space="preserve">  CONCLUSIÓN: Visto el expediente de Modificación Presupuestaria, presentado por la Presidencia, y considerando que se ajusta a Derecho, esta Intervención Informa en sentido: [RES]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 xml:space="preserve">  No obstante, se advierte que, en caso de que parte de la financiación proceda del remanente de tesorería para gastos generales (aplicación 87000), dicha incorporación podría computar negativamente a efectos del objetivo de estabilidad presupuestaria. Por el contrario, cuando la financiación proviene del remanente de tesorería con financiación afectada (aplicación 87010), al estar vinculada a ingresos finalistas legalmente comprometidos, no se considera computable, conforme a lo establecido en la Circular nº 2 de la IGAE de 11 de marzo de 1985 y en la normativa vigente en materia de estabilidad (Ley de Estabilidad Presupuestaria de 2001 y LOEPSF de 2012).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6">
      <w:pPr>
        <w:spacing w:after="240" w:before="240" w:line="276" w:lineRule="auto"/>
        <w:jc w:val="both"/>
        <w:rPr>
          <w:sz w:val="24"/>
          <w:szCs w:val="24"/>
        </w:rPr>
      </w:pPr>
      <w:r>
        <w:t>Resultado del Informe: [res]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sz w:val="24"/>
          <w:szCs w:val="24"/>
        </w:rPr>
      </w:pPr>
      <w:r>
        <w:t>EL INTERVENTOR: Francisco Aguayo Serrano</w:t>
        <w:br/>
        <w:t xml:space="preserve">  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/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sz w:val="24"/>
          <w:szCs w:val="24"/>
        </w:rPr>
      </w:pPr>
      <w:r/>
    </w:p>
    <w:sectPr>
      <w:footerReference r:id="rId7" w:type="default"/>
      <w:pgSz w:h="16838" w:w="11906" w:orient="portrait"/>
      <w:pgMar w:bottom="794" w:top="794" w:left="1134" w:right="1134" w:header="851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bCs w:val="1"/>
      <w:szCs w:val="24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cs="Arial"/>
      <w:b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spacing w:before="70"/>
      <w:jc w:val="right"/>
      <w:outlineLvl w:val="1"/>
    </w:pPr>
    <w:rPr>
      <w:b w:val="1"/>
      <w:bCs w:val="0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semiHidden w:val="1"/>
    <w:rPr>
      <w:rFonts w:ascii="Courier New" w:cs="Courier New" w:hAnsi="Courier New"/>
      <w:szCs w:val="20"/>
    </w:r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semiHidden w:val="1"/>
    <w:rPr>
      <w:rFonts w:ascii="Times New Roman" w:hAnsi="Times New Roman"/>
      <w:b w:val="1"/>
      <w:color w:val="000080"/>
      <w:szCs w:val="20"/>
      <w:lang w:eastAsia="en-US"/>
    </w:rPr>
  </w:style>
  <w:style w:type="table" w:styleId="Tablaconcuadrcula">
    <w:name w:val="Table Grid"/>
    <w:basedOn w:val="Tablanormal"/>
    <w:rsid w:val="00891A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link w:val="Encabezado"/>
    <w:rsid w:val="00836FC4"/>
    <w:rPr>
      <w:rFonts w:ascii="Arial" w:hAnsi="Arial"/>
      <w:bCs w:val="1"/>
      <w:szCs w:val="24"/>
    </w:rPr>
  </w:style>
  <w:style w:type="paragraph" w:styleId="Header2" w:customStyle="1">
    <w:name w:val="Header2"/>
    <w:basedOn w:val="Normal"/>
    <w:rsid w:val="00836FC4"/>
    <w:pPr>
      <w:widowControl w:val="0"/>
      <w:suppressLineNumbers w:val="1"/>
      <w:tabs>
        <w:tab w:val="right" w:pos="9637"/>
      </w:tabs>
      <w:suppressAutoHyphens w:val="1"/>
    </w:pPr>
    <w:rPr>
      <w:rFonts w:ascii="Times New Roman" w:eastAsia="Lucida Sans Unicode" w:hAnsi="Times New Roman"/>
      <w:bCs w:val="0"/>
      <w:kern w:val="1"/>
      <w:sz w:val="22"/>
      <w:lang w:eastAsia="en-US"/>
    </w:rPr>
  </w:style>
  <w:style w:type="character" w:styleId="Referenciaintensa">
    <w:name w:val="Intense Reference"/>
    <w:basedOn w:val="Fuentedeprrafopredeter"/>
    <w:uiPriority w:val="32"/>
    <w:qFormat w:val="1"/>
    <w:rsid w:val="000C268E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QD4JBfP0aj2nF8jzo0wa8UbYg==">CgMxLjAyDmguNTZ1cXNmZ2tjMHNpMg5oLjU2dXFzZmdrYzBzaTIOaC41NnVxc2Zna2Mwc2k4AHIhMXk4VU5GQ2Zmb3lfLW5xRndFQ25RMTBhUHF4Ukt3MnpI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2025-04-17T18:22:00Z</dcterms:created>
  <dc:creator>Francisco Aguayo Serrano</dc:creator>
</cp:coreProperties>
</file>