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Examen Final </w:t>
      </w:r>
    </w:p>
    <w:p/>
    <w:p>
      <w:r>
        <w:rPr>
          <w:sz w:val="20"/>
        </w:rPr>
        <w:t>1) Las quinolonas son un grupo de antibióticos muy usados en pacientes infectados. Marque la respuesta correcta en relación con este grupo:</w:t>
        <w:br/>
      </w:r>
    </w:p>
    <w:p>
      <w:r>
        <w:rPr>
          <w:rFonts w:ascii="Arial" w:hAnsi="Arial"/>
          <w:sz w:val="20"/>
        </w:rPr>
        <w:t>a) La hepatoxicidad es el afecto adverso más frecuente.</w:t>
        <w:br/>
      </w:r>
    </w:p>
    <w:p>
      <w:r>
        <w:rPr>
          <w:rFonts w:ascii="Arial" w:hAnsi="Arial"/>
          <w:sz w:val="20"/>
        </w:rPr>
        <w:t>b) No se recomienda actualmente su uso de primera elección para tratamiento de Gonococo dada la alta prevalencia de resistencia local.</w:t>
        <w:br/>
      </w:r>
    </w:p>
    <w:p>
      <w:r>
        <w:rPr>
          <w:rFonts w:ascii="Arial" w:hAnsi="Arial"/>
          <w:sz w:val="20"/>
        </w:rPr>
        <w:t>c) Son drogas bacteriostáticas con espectro únicamente para cocos positivos.</w:t>
        <w:br/>
      </w:r>
    </w:p>
    <w:p>
      <w:r>
        <w:rPr>
          <w:rFonts w:ascii="Arial" w:hAnsi="Arial"/>
          <w:sz w:val="20"/>
        </w:rPr>
        <w:t>d) En niños se aplican las mismas indicaciones que en adultos.</w:t>
        <w:br/>
      </w:r>
    </w:p>
    <w:p>
      <w:r>
        <w:rPr>
          <w:rFonts w:ascii="Arial" w:hAnsi="Arial"/>
          <w:sz w:val="20"/>
        </w:rPr>
        <w:t>e) Levofloxacina no es una quinolona útil en infecciones respiratorias.</w:t>
        <w:br/>
      </w:r>
    </w:p>
    <w:p/>
    <w:p>
      <w:r>
        <w:rPr>
          <w:sz w:val="20"/>
        </w:rPr>
        <w:t>2) La Vancomicina es una droga ampliamente usada en las unidades de cuidados intensivos. Marca la respuesta correcta con respecto a:</w:t>
        <w:br/>
      </w:r>
    </w:p>
    <w:p>
      <w:r>
        <w:rPr>
          <w:rFonts w:ascii="Arial" w:hAnsi="Arial"/>
          <w:sz w:val="20"/>
        </w:rPr>
        <w:t>a) La concentración en valle de la vancomicina debe ser mantenida entre 1-3 microgramo/ml</w:t>
        <w:br/>
      </w:r>
    </w:p>
    <w:p>
      <w:r>
        <w:rPr>
          <w:rFonts w:ascii="Arial" w:hAnsi="Arial"/>
          <w:sz w:val="20"/>
        </w:rPr>
        <w:t>b) En neumonía nosocomial no asociada a ARM no tiene utilidad en ninguna circunstancia. Se deben usar drogas solo para bacilos gran negativos.</w:t>
        <w:br/>
      </w:r>
    </w:p>
    <w:p>
      <w:r>
        <w:rPr>
          <w:rFonts w:ascii="Arial" w:hAnsi="Arial"/>
          <w:sz w:val="20"/>
        </w:rPr>
        <w:t>c) No es la droga de primera línea en infecciones del SNC por SAMR.</w:t>
        <w:br/>
      </w:r>
    </w:p>
    <w:p>
      <w:r>
        <w:rPr>
          <w:rFonts w:ascii="Arial" w:hAnsi="Arial"/>
          <w:sz w:val="20"/>
        </w:rPr>
        <w:t>d) En meningitis o ventriculitis intranosocomial no puede ser suministrada por vía intraventricular.</w:t>
        <w:br/>
      </w:r>
    </w:p>
    <w:p>
      <w:r>
        <w:rPr>
          <w:rFonts w:ascii="Arial" w:hAnsi="Arial"/>
          <w:sz w:val="20"/>
        </w:rPr>
        <w:t>e) Debe ser incluida en el esquema empírico inicial de neumonías asociadas a respirador en especial si el paciente ha recibido antibióticos dentro de los 3 meses previos al episodio.</w:t>
        <w:br/>
      </w:r>
    </w:p>
    <w:p/>
    <w:p>
      <w:r>
        <w:rPr>
          <w:sz w:val="20"/>
        </w:rPr>
        <w:t>3) Marque la respuesta correcta en relación con tratamiento documentado e intervalo de dosis:</w:t>
        <w:br/>
      </w:r>
    </w:p>
    <w:p>
      <w:r>
        <w:rPr>
          <w:rFonts w:ascii="Arial" w:hAnsi="Arial"/>
          <w:sz w:val="20"/>
        </w:rPr>
        <w:t>a) En un diagnóstico documentado debería elegir el tratamiento de espectro dirigido de menor costo y mayor efectividad.</w:t>
        <w:br/>
      </w:r>
    </w:p>
    <w:p>
      <w:r>
        <w:rPr>
          <w:rFonts w:ascii="Arial" w:hAnsi="Arial"/>
          <w:sz w:val="20"/>
        </w:rPr>
        <w:t xml:space="preserve">b) Los ATB con acción bactericida tiempo-dependiente como los B lactámicos requieren en general dosis grandes con intervalos prolongados. </w:t>
        <w:br/>
      </w:r>
    </w:p>
    <w:p>
      <w:r>
        <w:rPr>
          <w:rFonts w:ascii="Arial" w:hAnsi="Arial"/>
          <w:sz w:val="20"/>
        </w:rPr>
        <w:t>c)  La frecuencia de administración de un antibiótico puede basarse en la experiencia del profesional que lo indica.</w:t>
        <w:br/>
      </w:r>
    </w:p>
    <w:p>
      <w:r>
        <w:rPr>
          <w:rFonts w:ascii="Arial" w:hAnsi="Arial"/>
          <w:sz w:val="20"/>
        </w:rPr>
        <w:t>d) El antibiótico a seleccionar debe ser el primero de la lista del antibiograma.</w:t>
        <w:br/>
      </w:r>
    </w:p>
    <w:p>
      <w:r>
        <w:rPr>
          <w:rFonts w:ascii="Arial" w:hAnsi="Arial"/>
          <w:sz w:val="20"/>
        </w:rPr>
        <w:t>e) Debo respetar siempre el tratamiento empírico elegido y continuarlo.</w:t>
        <w:br/>
      </w:r>
    </w:p>
    <w:p/>
    <w:p>
      <w:r>
        <w:rPr>
          <w:sz w:val="20"/>
        </w:rPr>
        <w:t>4) Paciente de 23 años que consulta por secreción uretral de 48 hs de evolución. Se realiza toma de muestra y el laboratorio informa desarrollo de diplococos positivos oxidasa positiva que no crecen en agar sangre. ¿Cuál es el microorganismo que sospecha y cuál sería su tratamiento empírico?</w:t>
        <w:br/>
      </w:r>
    </w:p>
    <w:p>
      <w:r>
        <w:rPr>
          <w:rFonts w:ascii="Arial" w:hAnsi="Arial"/>
          <w:sz w:val="20"/>
        </w:rPr>
        <w:t>a) Neisseria gonorrhoeae. Levofloxacina oral + Estreptomicina intramuscular</w:t>
        <w:br/>
      </w:r>
    </w:p>
    <w:p>
      <w:r>
        <w:rPr>
          <w:rFonts w:ascii="Arial" w:hAnsi="Arial"/>
          <w:sz w:val="20"/>
        </w:rPr>
        <w:t>b) Neisseria gonorrhoeae. Ceftriaxone intramuscular + Azitromicina oral</w:t>
        <w:br/>
      </w:r>
    </w:p>
    <w:p>
      <w:r>
        <w:rPr>
          <w:rFonts w:ascii="Arial" w:hAnsi="Arial"/>
          <w:sz w:val="20"/>
        </w:rPr>
        <w:t>c) Moraxella catarrhalis. Ceftriaxone intramuscular.</w:t>
        <w:br/>
      </w:r>
    </w:p>
    <w:p>
      <w:r>
        <w:rPr>
          <w:rFonts w:ascii="Arial" w:hAnsi="Arial"/>
          <w:sz w:val="20"/>
        </w:rPr>
        <w:t>d) Neisseria meningitidis. Ceftriaxone EV</w:t>
        <w:br/>
      </w:r>
    </w:p>
    <w:p>
      <w:r>
        <w:rPr>
          <w:rFonts w:ascii="Arial" w:hAnsi="Arial"/>
          <w:sz w:val="20"/>
        </w:rPr>
        <w:t>e) Moraxella catarrhalis. Amoxicilina clavulánico.</w:t>
        <w:br/>
      </w:r>
    </w:p>
    <w:p/>
    <w:p>
      <w:r>
        <w:rPr>
          <w:sz w:val="20"/>
        </w:rPr>
        <w:t>5) El médico residente de 2do año le dice que indique Nitrofurantoína a un paciente con sospecha de infección urinaria. Marque la respuesta correcta con respecto a  ello:</w:t>
        <w:br/>
      </w:r>
    </w:p>
    <w:p>
      <w:r>
        <w:rPr>
          <w:rFonts w:ascii="Arial" w:hAnsi="Arial"/>
          <w:sz w:val="20"/>
        </w:rPr>
        <w:t>a) No se recomienda su uso en pielonefritis o alta sospecha de urosepsis.</w:t>
        <w:br/>
      </w:r>
    </w:p>
    <w:p>
      <w:r>
        <w:rPr>
          <w:rFonts w:ascii="Arial" w:hAnsi="Arial"/>
          <w:sz w:val="20"/>
        </w:rPr>
        <w:t xml:space="preserve">b) Es droga bacteriostática que no se recomienda usar en ITU. </w:t>
        <w:br/>
      </w:r>
    </w:p>
    <w:p>
      <w:r>
        <w:rPr>
          <w:rFonts w:ascii="Arial" w:hAnsi="Arial"/>
          <w:sz w:val="20"/>
        </w:rPr>
        <w:t>c) Pseudomonas aeuruginosa es siempre sensible por lo que es una opción de tratamiento en pielonefritis.</w:t>
        <w:br/>
      </w:r>
    </w:p>
    <w:p>
      <w:r>
        <w:rPr>
          <w:rFonts w:ascii="Arial" w:hAnsi="Arial"/>
          <w:sz w:val="20"/>
        </w:rPr>
        <w:t>d) Se puede utilizar con seguridad en embarazo, lactancia e insuficiencia renal sin modificar su dosis.</w:t>
        <w:br/>
      </w:r>
    </w:p>
    <w:p>
      <w:r>
        <w:rPr>
          <w:rFonts w:ascii="Arial" w:hAnsi="Arial"/>
          <w:sz w:val="20"/>
        </w:rPr>
        <w:t>e) Para profilaxis en pacientes con reflujo vesicoureteral no está recomendada. Se prefiere elegir la droga sensible del último urocultivo positivo.</w:t>
        <w:br/>
      </w:r>
    </w:p>
    <w:p/>
    <w:p>
      <w:r>
        <w:rPr>
          <w:sz w:val="20"/>
        </w:rPr>
        <w:t>6) José tiene diagnóstico de TBC pulmonar con baciloscoía positiva. Convive con su pareja Lucía de 30 años, Antonio de 3 años y Lucas de 17 años. Cual de las siguientes es incorrecta con respecto a quimioprofilaxis?</w:t>
        <w:br/>
      </w:r>
    </w:p>
    <w:p>
      <w:r>
        <w:rPr>
          <w:rFonts w:ascii="Arial" w:hAnsi="Arial"/>
          <w:sz w:val="20"/>
        </w:rPr>
        <w:t>a) Le indica isoniacida a su sobrino de 21 años porque jugaron juntos al fútbol la semana pasada.</w:t>
        <w:br/>
      </w:r>
    </w:p>
    <w:p>
      <w:r>
        <w:rPr>
          <w:rFonts w:ascii="Arial" w:hAnsi="Arial"/>
          <w:sz w:val="20"/>
        </w:rPr>
        <w:t>b) Le indica Isoniacida a su hijo Antonio por 6 meses.</w:t>
        <w:br/>
      </w:r>
    </w:p>
    <w:p>
      <w:r>
        <w:rPr>
          <w:rFonts w:ascii="Arial" w:hAnsi="Arial"/>
          <w:sz w:val="20"/>
        </w:rPr>
        <w:t>c) Decide conducta con Lucas y Lucía según valoración clínica y de resultados de PPD y Rx.</w:t>
        <w:br/>
      </w:r>
    </w:p>
    <w:p>
      <w:r>
        <w:rPr>
          <w:rFonts w:ascii="Arial" w:hAnsi="Arial"/>
          <w:sz w:val="20"/>
        </w:rPr>
        <w:t>d) 2 y 4 son las respuestas incorrectas.</w:t>
        <w:br/>
      </w:r>
    </w:p>
    <w:p>
      <w:r>
        <w:rPr>
          <w:rFonts w:ascii="Arial" w:hAnsi="Arial"/>
          <w:sz w:val="20"/>
        </w:rPr>
        <w:t>e) Realiza control clínico (anamnesis y examen físico), PPD y Rx a su pareja, a Antonio y  a Lucas.</w:t>
        <w:br/>
      </w:r>
    </w:p>
    <w:p/>
    <w:p>
      <w:r>
        <w:rPr>
          <w:sz w:val="20"/>
        </w:rPr>
        <w:t>7) Los siguientes son métodos directos de diagnóstico utilizados en el laboratorio de microbiología excepto:</w:t>
        <w:br/>
      </w:r>
    </w:p>
    <w:p>
      <w:r>
        <w:rPr>
          <w:rFonts w:ascii="Arial" w:hAnsi="Arial"/>
          <w:sz w:val="20"/>
        </w:rPr>
        <w:t>a) Examen microscópico con técnica de Gram</w:t>
        <w:br/>
      </w:r>
    </w:p>
    <w:p>
      <w:r>
        <w:rPr>
          <w:rFonts w:ascii="Arial" w:hAnsi="Arial"/>
          <w:sz w:val="20"/>
        </w:rPr>
        <w:t>b) Detección de antígenos (Ej. test rápidos)</w:t>
        <w:br/>
      </w:r>
    </w:p>
    <w:p>
      <w:r>
        <w:rPr>
          <w:rFonts w:ascii="Arial" w:hAnsi="Arial"/>
          <w:sz w:val="20"/>
        </w:rPr>
        <w:t>c) Identificación por cultivo y antibiograma</w:t>
        <w:br/>
      </w:r>
    </w:p>
    <w:p>
      <w:r>
        <w:rPr>
          <w:rFonts w:ascii="Arial" w:hAnsi="Arial"/>
          <w:sz w:val="20"/>
        </w:rPr>
        <w:t>d) Serología IgG o IgM</w:t>
        <w:br/>
      </w:r>
    </w:p>
    <w:p>
      <w:r>
        <w:rPr>
          <w:rFonts w:ascii="Arial" w:hAnsi="Arial"/>
          <w:sz w:val="20"/>
        </w:rPr>
        <w:t>e) Detección de DNA por biología molecular</w:t>
        <w:br/>
      </w:r>
    </w:p>
    <w:p/>
    <w:p>
      <w:r>
        <w:rPr>
          <w:sz w:val="20"/>
        </w:rPr>
        <w:t>8) Marque la afirmación incorrecta:</w:t>
        <w:br/>
      </w:r>
    </w:p>
    <w:p>
      <w:r>
        <w:rPr>
          <w:rFonts w:ascii="Arial" w:hAnsi="Arial"/>
          <w:sz w:val="20"/>
        </w:rPr>
        <w:t>a) Puedo indicar ATB intramuscular en infecciones leves/moderadas por bacterias resistentes que requieran ATB con intervalos de dosis prolongados.</w:t>
        <w:br/>
      </w:r>
    </w:p>
    <w:p>
      <w:r>
        <w:rPr>
          <w:rFonts w:ascii="Arial" w:hAnsi="Arial"/>
          <w:sz w:val="20"/>
        </w:rPr>
        <w:t>b) En la elección de un antibiótico considero la edad, el sexo, la inmunidad y el estado general del paciente.</w:t>
        <w:br/>
      </w:r>
    </w:p>
    <w:p>
      <w:r>
        <w:rPr>
          <w:rFonts w:ascii="Arial" w:hAnsi="Arial"/>
          <w:sz w:val="20"/>
        </w:rPr>
        <w:t>c) En infecciones neumocóccicas la dosificación del antibiótico según la CIM de la cepa infectante y el sitio de infección está relacionada al éxito del tratamiento.</w:t>
        <w:br/>
      </w:r>
    </w:p>
    <w:p>
      <w:r>
        <w:rPr>
          <w:rFonts w:ascii="Arial" w:hAnsi="Arial"/>
          <w:sz w:val="20"/>
        </w:rPr>
        <w:t>d) Si el paciente está internado siempre debo suministrar el antibiótico por vía endovenosa.</w:t>
        <w:br/>
      </w:r>
    </w:p>
    <w:p>
      <w:r>
        <w:rPr>
          <w:rFonts w:ascii="Arial" w:hAnsi="Arial"/>
          <w:sz w:val="20"/>
        </w:rPr>
        <w:t>e) Para elegir la vía de indicación de un ATB tengo en cuenta la severidad de la infección, que niveles plasmáticos se requieran, el sitio de infección y el funcionamiento del tracto gastrointestinal.</w:t>
        <w:br/>
      </w:r>
    </w:p>
    <w:p/>
    <w:p>
      <w:r>
        <w:rPr>
          <w:sz w:val="20"/>
        </w:rPr>
        <w:t>9) Con respecto a las nuevas drogas para cocos positivos marque la respuesta correcta:</w:t>
        <w:br/>
      </w:r>
    </w:p>
    <w:p>
      <w:r>
        <w:rPr>
          <w:rFonts w:ascii="Arial" w:hAnsi="Arial"/>
          <w:sz w:val="20"/>
        </w:rPr>
        <w:t>a) 2 y 3 son correctas.</w:t>
        <w:br/>
      </w:r>
    </w:p>
    <w:p>
      <w:r>
        <w:rPr>
          <w:rFonts w:ascii="Arial" w:hAnsi="Arial"/>
          <w:sz w:val="20"/>
        </w:rPr>
        <w:t>b) Daptomicina es droga bacteriostática por lo que no se recomienda su uso en bacteriemia por S. aureus.</w:t>
        <w:br/>
      </w:r>
    </w:p>
    <w:p>
      <w:r>
        <w:rPr>
          <w:rFonts w:ascii="Arial" w:hAnsi="Arial"/>
          <w:sz w:val="20"/>
        </w:rPr>
        <w:t>c) Linezolid no requiere ajuste en insuficiencia renal. Puede producir mielosupresión por lo que debe chequear periódicamente con  hemograma.</w:t>
        <w:br/>
      </w:r>
    </w:p>
    <w:p>
      <w:r>
        <w:rPr>
          <w:rFonts w:ascii="Arial" w:hAnsi="Arial"/>
          <w:sz w:val="20"/>
        </w:rPr>
        <w:t>d) No se recomienda el uso de Daptomicina en neumonía por S. aureus. En esta situación puede ser útil Linezolid.</w:t>
        <w:br/>
      </w:r>
    </w:p>
    <w:p>
      <w:r>
        <w:rPr>
          <w:rFonts w:ascii="Arial" w:hAnsi="Arial"/>
          <w:sz w:val="20"/>
        </w:rPr>
        <w:t>e) Ceftarolina se administra cada 6 horas y está recomendada en meningitis y absceso cerebral por cocos positivos.</w:t>
        <w:br/>
      </w:r>
    </w:p>
    <w:p/>
    <w:p>
      <w:r>
        <w:rPr>
          <w:sz w:val="20"/>
        </w:rPr>
        <w:t>10) Marque la respuesta correcta en relación con costos de un tratamiento antimicrobiano:</w:t>
        <w:br/>
      </w:r>
    </w:p>
    <w:p>
      <w:r>
        <w:rPr>
          <w:rFonts w:ascii="Arial" w:hAnsi="Arial"/>
          <w:sz w:val="20"/>
        </w:rPr>
        <w:t>a) El análisis de la costo efectividad se utiliza para comparar dos o más medicamentos que no son exactamente equivalentes en términos de dosis o efecto terapéutico, pero que se utilizan para tratar la misma afección</w:t>
        <w:br/>
      </w:r>
    </w:p>
    <w:p>
      <w:r>
        <w:rPr>
          <w:rFonts w:ascii="Arial" w:hAnsi="Arial"/>
          <w:sz w:val="20"/>
        </w:rPr>
        <w:t>b) En los costos directos del tratamiento se tienen en cuenta cuánto cuesta el medicamento, el costo de la internación, el costo de la preparación.</w:t>
        <w:br/>
      </w:r>
    </w:p>
    <w:p>
      <w:r>
        <w:rPr>
          <w:rFonts w:ascii="Arial" w:hAnsi="Arial"/>
          <w:sz w:val="20"/>
        </w:rPr>
        <w:t>c) Todas son correctas.</w:t>
        <w:br/>
      </w:r>
    </w:p>
    <w:p>
      <w:r>
        <w:rPr>
          <w:rFonts w:ascii="Arial" w:hAnsi="Arial"/>
          <w:sz w:val="20"/>
        </w:rPr>
        <w:t>d) Ante opciones similares elijo la de menor costo</w:t>
        <w:br/>
      </w:r>
    </w:p>
    <w:p>
      <w:r>
        <w:rPr>
          <w:rFonts w:ascii="Arial" w:hAnsi="Arial"/>
          <w:sz w:val="20"/>
        </w:rPr>
        <w:t>e) Costo beneficio significa enumerar y comparar el costo neto de una intervención en salud con los beneficios que surgen como consecuencia de aplicar dicha intervención.</w:t>
        <w:br/>
      </w:r>
    </w:p>
    <w:p/>
    <w:p>
      <w:r>
        <w:rPr>
          <w:sz w:val="20"/>
        </w:rPr>
        <w:t>11) Marque la respuesta correcta con respecto a los nitroimidazoles:</w:t>
        <w:br/>
      </w:r>
    </w:p>
    <w:p>
      <w:r>
        <w:rPr>
          <w:rFonts w:ascii="Arial" w:hAnsi="Arial"/>
          <w:sz w:val="20"/>
        </w:rPr>
        <w:t>a) Tiene espectro para cocos positivos aerobios como S. aureus.</w:t>
        <w:br/>
      </w:r>
    </w:p>
    <w:p>
      <w:r>
        <w:rPr>
          <w:rFonts w:ascii="Arial" w:hAnsi="Arial"/>
          <w:sz w:val="20"/>
        </w:rPr>
        <w:t>b) El benznidazol es un antiparasitario del mismo grupo que se utiliza para tratamiento de guardia y amebas.</w:t>
        <w:br/>
      </w:r>
    </w:p>
    <w:p>
      <w:r>
        <w:rPr>
          <w:rFonts w:ascii="Arial" w:hAnsi="Arial"/>
          <w:sz w:val="20"/>
        </w:rPr>
        <w:t>c) Uno de los usos más frecuentes del Metronidazol es en infecciones intrabdominales en esquema combinado  con aminoglucósidos como Gentamicina.</w:t>
        <w:br/>
      </w:r>
    </w:p>
    <w:p>
      <w:r>
        <w:rPr>
          <w:rFonts w:ascii="Arial" w:hAnsi="Arial"/>
          <w:sz w:val="20"/>
        </w:rPr>
        <w:t>d) El ornidazol tiene espectro para bacilos gran negativos a diferencia del Metronidazol.</w:t>
        <w:br/>
      </w:r>
    </w:p>
    <w:p>
      <w:r>
        <w:rPr>
          <w:rFonts w:ascii="Arial" w:hAnsi="Arial"/>
          <w:sz w:val="20"/>
        </w:rPr>
        <w:t>e) El Metronidazol no difunde en LCR.</w:t>
        <w:br/>
      </w:r>
    </w:p>
    <w:p/>
    <w:p>
      <w:r>
        <w:rPr>
          <w:sz w:val="20"/>
        </w:rPr>
        <w:t>12) Los siguientes son usos clínicos de las aminopenicilinas con inhibidor de B lactamasas excepto:</w:t>
        <w:br/>
      </w:r>
    </w:p>
    <w:p>
      <w:r>
        <w:rPr>
          <w:rFonts w:ascii="Arial" w:hAnsi="Arial"/>
          <w:sz w:val="20"/>
        </w:rPr>
        <w:t>a) Pie diabético</w:t>
        <w:br/>
      </w:r>
    </w:p>
    <w:p>
      <w:r>
        <w:rPr>
          <w:rFonts w:ascii="Arial" w:hAnsi="Arial"/>
          <w:sz w:val="20"/>
        </w:rPr>
        <w:t>b) Mordeduras de animales</w:t>
        <w:br/>
      </w:r>
    </w:p>
    <w:p>
      <w:r>
        <w:rPr>
          <w:rFonts w:ascii="Arial" w:hAnsi="Arial"/>
          <w:sz w:val="20"/>
        </w:rPr>
        <w:t>c) Infecciones intrabdominales: Ej. peritonitis aguda</w:t>
        <w:br/>
      </w:r>
    </w:p>
    <w:p>
      <w:r>
        <w:rPr>
          <w:rFonts w:ascii="Arial" w:hAnsi="Arial"/>
          <w:sz w:val="20"/>
        </w:rPr>
        <w:t>d) Infecciones respiratorias altas (ej. sinusitis, otitis media agudas)</w:t>
        <w:br/>
      </w:r>
    </w:p>
    <w:p>
      <w:r>
        <w:rPr>
          <w:rFonts w:ascii="Arial" w:hAnsi="Arial"/>
          <w:sz w:val="20"/>
        </w:rPr>
        <w:t>e) Otitis supurada crónica</w:t>
        <w:br/>
      </w:r>
    </w:p>
    <w:p/>
    <w:p>
      <w:r>
        <w:rPr>
          <w:sz w:val="20"/>
        </w:rPr>
        <w:t>13) Marque usos terapéuticos de Clindamicina endovenosa:</w:t>
        <w:br/>
      </w:r>
    </w:p>
    <w:p>
      <w:r>
        <w:rPr>
          <w:rFonts w:ascii="Arial" w:hAnsi="Arial"/>
          <w:sz w:val="20"/>
        </w:rPr>
        <w:t>a) Tratamiento empírico inicial de infecciones osteoarticulares y infecciones de piel y partes blandas complicada en niños.</w:t>
        <w:br/>
      </w:r>
    </w:p>
    <w:p>
      <w:r>
        <w:rPr>
          <w:rFonts w:ascii="Arial" w:hAnsi="Arial"/>
          <w:sz w:val="20"/>
        </w:rPr>
        <w:t>b) Tratamiento empírico inicial de Pielonefritis.</w:t>
        <w:br/>
      </w:r>
    </w:p>
    <w:p>
      <w:r>
        <w:rPr>
          <w:rFonts w:ascii="Arial" w:hAnsi="Arial"/>
          <w:sz w:val="20"/>
        </w:rPr>
        <w:t>c) Endocarditis por Enterococo.</w:t>
        <w:br/>
      </w:r>
    </w:p>
    <w:p>
      <w:r>
        <w:rPr>
          <w:rFonts w:ascii="Arial" w:hAnsi="Arial"/>
          <w:sz w:val="20"/>
        </w:rPr>
        <w:t>d) 1 y 2 son correctas</w:t>
        <w:br/>
      </w:r>
    </w:p>
    <w:p>
      <w:r>
        <w:rPr>
          <w:rFonts w:ascii="Arial" w:hAnsi="Arial"/>
          <w:sz w:val="20"/>
        </w:rPr>
        <w:t>e) Infecciones intrabdominales por su cobertura para anaerobios.</w:t>
        <w:br/>
      </w:r>
    </w:p>
    <w:p/>
    <w:p>
      <w:r>
        <w:rPr>
          <w:sz w:val="20"/>
        </w:rPr>
        <w:t>14) Marque en que indicación usted indicaría tratamiento ATB combinado</w:t>
        <w:br/>
      </w:r>
    </w:p>
    <w:p>
      <w:r>
        <w:rPr>
          <w:rFonts w:ascii="Arial" w:hAnsi="Arial"/>
          <w:sz w:val="20"/>
        </w:rPr>
        <w:t>a) Peritonitis aguda  secundaria a apendicitis perforada.</w:t>
        <w:br/>
      </w:r>
    </w:p>
    <w:p>
      <w:r>
        <w:rPr>
          <w:rFonts w:ascii="Arial" w:hAnsi="Arial"/>
          <w:sz w:val="20"/>
        </w:rPr>
        <w:t>b) En todo paciente con Endocarditis.</w:t>
        <w:br/>
      </w:r>
    </w:p>
    <w:p>
      <w:r>
        <w:rPr>
          <w:rFonts w:ascii="Arial" w:hAnsi="Arial"/>
          <w:sz w:val="20"/>
        </w:rPr>
        <w:t>c) Peritonitis bacteriana en paciente con ascitis por Síndrome nefrótico</w:t>
        <w:br/>
      </w:r>
    </w:p>
    <w:p>
      <w:r>
        <w:rPr>
          <w:rFonts w:ascii="Arial" w:hAnsi="Arial"/>
          <w:sz w:val="20"/>
        </w:rPr>
        <w:t>d) Neumonía de la comunidad de manejo ambulatorio</w:t>
        <w:br/>
      </w:r>
    </w:p>
    <w:p>
      <w:r>
        <w:rPr>
          <w:rFonts w:ascii="Arial" w:hAnsi="Arial"/>
          <w:sz w:val="20"/>
        </w:rPr>
        <w:t>e) Otitis media aguda bilateral</w:t>
        <w:br/>
      </w:r>
    </w:p>
    <w:p/>
    <w:p>
      <w:r>
        <w:rPr>
          <w:sz w:val="20"/>
        </w:rPr>
        <w:t>15) Usted decide indicar Cotrimoxazol a un niño de 2 años de edad.  Marque la respuesta correcta en relación con esta droga:</w:t>
        <w:br/>
      </w:r>
    </w:p>
    <w:p>
      <w:r>
        <w:rPr>
          <w:rFonts w:ascii="Arial" w:hAnsi="Arial"/>
          <w:sz w:val="20"/>
        </w:rPr>
        <w:t>a) Se utiliza para prevención y tratamiento de infección pulmonar por Pneumocystis jirovecii en pacientes HIV.</w:t>
        <w:br/>
      </w:r>
    </w:p>
    <w:p>
      <w:r>
        <w:rPr>
          <w:rFonts w:ascii="Arial" w:hAnsi="Arial"/>
          <w:sz w:val="20"/>
        </w:rPr>
        <w:t>b) Es el ATB más frecuentemente indicado en niños de esta edad para completar tratamiento oral de infecciones osteoarticulares por SAMR dada su posología y buena tolerancia.</w:t>
        <w:br/>
      </w:r>
    </w:p>
    <w:p>
      <w:r>
        <w:rPr>
          <w:rFonts w:ascii="Arial" w:hAnsi="Arial"/>
          <w:sz w:val="20"/>
        </w:rPr>
        <w:t>c) 1 y 2 son correctas</w:t>
        <w:br/>
      </w:r>
    </w:p>
    <w:p>
      <w:r>
        <w:rPr>
          <w:rFonts w:ascii="Arial" w:hAnsi="Arial"/>
          <w:sz w:val="20"/>
        </w:rPr>
        <w:t>d) Puede ser administrado por vía oral o endovenosa.</w:t>
        <w:br/>
      </w:r>
    </w:p>
    <w:p>
      <w:r>
        <w:rPr>
          <w:rFonts w:ascii="Arial" w:hAnsi="Arial"/>
          <w:sz w:val="20"/>
        </w:rPr>
        <w:t>e) 1,2 y 3 son correctas</w:t>
        <w:br/>
      </w:r>
    </w:p>
    <w:p/>
    <w:p>
      <w:r>
        <w:rPr>
          <w:sz w:val="20"/>
        </w:rPr>
        <w:t>16) Le avisan desde Farmacia del Hospital que tienen disponible solamente Imipenem dentro de ese grupo de antibióticos. Marque la opción correcta con respecto a  diferencias con Meropenem:</w:t>
        <w:br/>
      </w:r>
    </w:p>
    <w:p>
      <w:r>
        <w:rPr>
          <w:rFonts w:ascii="Arial" w:hAnsi="Arial"/>
          <w:sz w:val="20"/>
        </w:rPr>
        <w:t>a) Meropenem tiene alta incidencia de convulsiones.</w:t>
        <w:br/>
      </w:r>
    </w:p>
    <w:p>
      <w:r>
        <w:rPr>
          <w:rFonts w:ascii="Arial" w:hAnsi="Arial"/>
          <w:sz w:val="20"/>
        </w:rPr>
        <w:t>b) Imipenem puede producir alteraciones en el SNC, por ejemplo convulsiones especialmente en pacientes con enfermedad neurológica</w:t>
        <w:br/>
      </w:r>
    </w:p>
    <w:p>
      <w:r>
        <w:rPr>
          <w:rFonts w:ascii="Arial" w:hAnsi="Arial"/>
          <w:sz w:val="20"/>
        </w:rPr>
        <w:t>c) Meropenem está unido a cilastatín que inhibe la hidropeptidasa renal que lo inactiva.</w:t>
        <w:br/>
      </w:r>
    </w:p>
    <w:p>
      <w:r>
        <w:rPr>
          <w:rFonts w:ascii="Arial" w:hAnsi="Arial"/>
          <w:sz w:val="20"/>
        </w:rPr>
        <w:t>d) Meropenem no puede ser utilizado en meningitis.</w:t>
        <w:br/>
      </w:r>
    </w:p>
    <w:p>
      <w:r>
        <w:rPr>
          <w:rFonts w:ascii="Arial" w:hAnsi="Arial"/>
          <w:sz w:val="20"/>
        </w:rPr>
        <w:t>e) Imipenem puede ser administrado en bolo  o por infusión por lo que es una opción en pacientes con restricción de líquidos. SE puede usar en infusión prolongada.</w:t>
        <w:br/>
      </w:r>
    </w:p>
    <w:p/>
    <w:p>
      <w:r>
        <w:rPr>
          <w:sz w:val="20"/>
        </w:rPr>
        <w:t>17) Cuál de las siguientes afirmaciones son correctas con respecto a  Vancomicina?</w:t>
        <w:br/>
      </w:r>
    </w:p>
    <w:p>
      <w:r>
        <w:rPr>
          <w:rFonts w:ascii="Arial" w:hAnsi="Arial"/>
          <w:sz w:val="20"/>
        </w:rPr>
        <w:t>a) No son droga de primera elección en infecciones por S. aureus meticilino sensibles.</w:t>
        <w:br/>
      </w:r>
    </w:p>
    <w:p>
      <w:r>
        <w:rPr>
          <w:rFonts w:ascii="Arial" w:hAnsi="Arial"/>
          <w:sz w:val="20"/>
        </w:rPr>
        <w:t>b) Los efectos adversos más frecuentes son la nefrotoxicidad. El  síndrome de hombre rojo se produce  cuando se administra la droga en infusión rápida.</w:t>
        <w:br/>
      </w:r>
    </w:p>
    <w:p>
      <w:r>
        <w:rPr>
          <w:rFonts w:ascii="Arial" w:hAnsi="Arial"/>
          <w:sz w:val="20"/>
        </w:rPr>
        <w:t>c) Todas son correctas</w:t>
        <w:br/>
      </w:r>
    </w:p>
    <w:p>
      <w:r>
        <w:rPr>
          <w:rFonts w:ascii="Arial" w:hAnsi="Arial"/>
          <w:sz w:val="20"/>
        </w:rPr>
        <w:t xml:space="preserve">d) Se eliminan por vía renal y requieren ajuste de dosis en insuficiencia renal. </w:t>
        <w:br/>
      </w:r>
    </w:p>
    <w:p>
      <w:r>
        <w:rPr>
          <w:rFonts w:ascii="Arial" w:hAnsi="Arial"/>
          <w:sz w:val="20"/>
        </w:rPr>
        <w:t>e) Pertenece a los glucopéptidos, drogas bactericidas que inhiben la pared celular de cepas sensibles.</w:t>
        <w:br/>
      </w:r>
    </w:p>
    <w:p/>
    <w:p>
      <w:r>
        <w:rPr>
          <w:sz w:val="20"/>
        </w:rPr>
        <w:t>18) Indique cual de los siguientes grupos de antibióticos son tiempo dependiente (“tiempo por encima de la CIM”):</w:t>
        <w:br/>
      </w:r>
    </w:p>
    <w:p>
      <w:r>
        <w:rPr>
          <w:rFonts w:ascii="Arial" w:hAnsi="Arial"/>
          <w:sz w:val="20"/>
        </w:rPr>
        <w:t>a) Quinolonas</w:t>
        <w:br/>
      </w:r>
    </w:p>
    <w:p>
      <w:r>
        <w:rPr>
          <w:rFonts w:ascii="Arial" w:hAnsi="Arial"/>
          <w:sz w:val="20"/>
        </w:rPr>
        <w:t>b) B lactámicos</w:t>
        <w:br/>
      </w:r>
    </w:p>
    <w:p>
      <w:r>
        <w:rPr>
          <w:rFonts w:ascii="Arial" w:hAnsi="Arial"/>
          <w:sz w:val="20"/>
        </w:rPr>
        <w:t>c) Aminoglucósidos</w:t>
        <w:br/>
      </w:r>
    </w:p>
    <w:p>
      <w:r>
        <w:rPr>
          <w:rFonts w:ascii="Arial" w:hAnsi="Arial"/>
          <w:sz w:val="20"/>
        </w:rPr>
        <w:t>d) Glucopéptidos</w:t>
        <w:br/>
      </w:r>
    </w:p>
    <w:p>
      <w:r>
        <w:rPr>
          <w:rFonts w:ascii="Arial" w:hAnsi="Arial"/>
          <w:sz w:val="20"/>
        </w:rPr>
        <w:t>e) Macrólidos</w:t>
        <w:br/>
      </w:r>
    </w:p>
    <w:p/>
    <w:p>
      <w:r>
        <w:rPr>
          <w:sz w:val="20"/>
        </w:rPr>
        <w:t>19) José de 47 años consultó por tos de 3 semanas de evolución, pérdida de 5 kg de peso, y decaimiento. Usted le solicita baciloscopia para TBC y le informan baciloscopía positiva +++. No tiene antecedentes previos de tratamiento antiTBC. Marque la respuesta correcta con respecto al tratamiento de su tuberculosis pulmonar:</w:t>
        <w:br/>
      </w:r>
    </w:p>
    <w:p>
      <w:r>
        <w:rPr>
          <w:rFonts w:ascii="Arial" w:hAnsi="Arial"/>
          <w:sz w:val="20"/>
        </w:rPr>
        <w:t>a) Le indica tratamiento supervisado en el centro de salud con triple asociación por 2 meses, valorar respuesta y si responde completar con 4 meses de doble asociación.</w:t>
        <w:br/>
      </w:r>
    </w:p>
    <w:p>
      <w:r>
        <w:rPr>
          <w:rFonts w:ascii="Arial" w:hAnsi="Arial"/>
          <w:sz w:val="20"/>
        </w:rPr>
        <w:t>b) 2 y 3 son correctas</w:t>
        <w:br/>
      </w:r>
    </w:p>
    <w:p>
      <w:r>
        <w:rPr>
          <w:rFonts w:ascii="Arial" w:hAnsi="Arial"/>
          <w:sz w:val="20"/>
        </w:rPr>
        <w:t>c) La droga que puede producir síntomas similares a gota es la Rifampicina.</w:t>
        <w:br/>
      </w:r>
    </w:p>
    <w:p>
      <w:r>
        <w:rPr>
          <w:rFonts w:ascii="Arial" w:hAnsi="Arial"/>
          <w:sz w:val="20"/>
        </w:rPr>
        <w:t>d) El esquema inicial es de 3 meses con 2 drogas: isoniacida + rifampicina.</w:t>
        <w:br/>
      </w:r>
    </w:p>
    <w:p>
      <w:r>
        <w:rPr>
          <w:rFonts w:ascii="Arial" w:hAnsi="Arial"/>
          <w:sz w:val="20"/>
        </w:rPr>
        <w:t>e) Además de la adherencia usted debe controlar si hay toxicidad renal por isoniacida  y hacer baciloscopía a los 15 días de inicio de tratamiento.</w:t>
        <w:br/>
      </w:r>
    </w:p>
    <w:p/>
    <w:p>
      <w:r>
        <w:rPr>
          <w:sz w:val="20"/>
        </w:rPr>
        <w:t>20) Indique cual de los siguientes antibióticos se excretan principalmente por hígado y deben ajustarse en insuficiencia hepática grave:</w:t>
        <w:br/>
      </w:r>
    </w:p>
    <w:p>
      <w:r>
        <w:rPr>
          <w:rFonts w:ascii="Arial" w:hAnsi="Arial"/>
          <w:sz w:val="20"/>
        </w:rPr>
        <w:t>a) 3 y 4 son correctas</w:t>
        <w:br/>
      </w:r>
    </w:p>
    <w:p>
      <w:r>
        <w:rPr>
          <w:rFonts w:ascii="Arial" w:hAnsi="Arial"/>
          <w:sz w:val="20"/>
        </w:rPr>
        <w:t>b) Clindamicina</w:t>
        <w:br/>
      </w:r>
    </w:p>
    <w:p>
      <w:r>
        <w:rPr>
          <w:rFonts w:ascii="Arial" w:hAnsi="Arial"/>
          <w:sz w:val="20"/>
        </w:rPr>
        <w:t>c) Aminoglucósidos</w:t>
        <w:br/>
      </w:r>
    </w:p>
    <w:p>
      <w:r>
        <w:rPr>
          <w:rFonts w:ascii="Arial" w:hAnsi="Arial"/>
          <w:sz w:val="20"/>
        </w:rPr>
        <w:t>d) Vancomicina</w:t>
        <w:br/>
      </w:r>
    </w:p>
    <w:p>
      <w:r>
        <w:rPr>
          <w:rFonts w:ascii="Arial" w:hAnsi="Arial"/>
          <w:sz w:val="20"/>
        </w:rPr>
        <w:t>e) Rifampicina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