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7C3AED"/>
          <w:sz w:val="36"/>
          <w:szCs w:val="36"/>
        </w:rPr>
        <w:t xml:space="preserve">DOCUMENTO COMERCIAL</w:t>
      </w:r>
    </w:p>
    <w:p>
      <w:pPr>
        <w:keepNext/>
        <w:spacing w:before="0" w:after="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1C1A2E"/>
          <w:sz w:val="88"/>
          <w:szCs w:val="88"/>
        </w:rPr>
        <w:t xml:space="preserve">Propuesta de Servicios</w:t>
      </w:r>
    </w:p>
    <w:p>
      <w:pPr>
        <w:spacing w:before="0" w:after="240" w:line="276" w:lineRule="auto"/>
        <w:rPr>
          <w:rFonts w:ascii="Calibri" w:hAnsi="Calibri" w:eastAsia="Calibri" w:cs="Calibri"/>
          <w:b w:val="0"/>
          <w:i w:val="0"/>
          <w:color w:val="6B7280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Alcance, entregables, inversión y condiciones.  ·  Preparada por Nombre Comercial · Cliente: Empresa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7C3AED"/>
          <w:sz w:val="56"/>
          <w:szCs w:val="56"/>
        </w:rPr>
        <w:t xml:space="preserve">1. Entendimiento del desafío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Tras las reuniones de levantamiento, identificamos tres focos: tiempo al mercado, consistencia de marca y automatización de reportes.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7C3AED"/>
          <w:sz w:val="56"/>
          <w:szCs w:val="56"/>
        </w:rPr>
        <w:t xml:space="preserve">2. Alcance y entregables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7C3AED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Fase 1 — Diagnóstico y rediseño del flujo core (4 semanas)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7C3AED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Fase 2 — Implementación y QA (6 semanas)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7C3AED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Fase 3 — Capacitación y garantía (2 semanas)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7C3AED"/>
          <w:sz w:val="56"/>
          <w:szCs w:val="56"/>
        </w:rPr>
        <w:t xml:space="preserve">3. Inversión</w:t>
      </w:r>
    </w:p>
    <w:tbl>
      <w:tblPr>
        <w:tblStyle w:val="TableGrid"/>
        <w:tblW w:w="0" w:type="auto"/>
        <w:tblBorders>
          <w:top w:val="single" w:sz="4" w:space="0" w:color="DBE0EC"/>
          <w:left w:val="single" w:sz="4" w:space="0" w:color="DBE0EC"/>
          <w:bottom w:val="single" w:sz="4" w:space="0" w:color="DBE0EC"/>
          <w:right w:val="single" w:sz="4" w:space="0" w:color="DBE0EC"/>
          <w:insideH w:val="single" w:sz="4" w:space="0" w:color="DBE0EC"/>
          <w:insideV w:val="single" w:sz="4" w:space="0" w:color="DBE0EC"/>
        </w:tblBorders>
        <w:look w:val="04A0"/>
      </w:tblPr>
      <w:tblGrid>
        <w:gridCol w:w="1800"/>
        <w:gridCol w:w="3600"/>
        <w:gridCol w:w="1800"/>
      </w:tblGrid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7C3AED"/>
                <w:sz w:val="40"/>
                <w:szCs w:val="40"/>
              </w:rPr>
              <w:t xml:space="preserve">Ítem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7C3AED"/>
                <w:sz w:val="40"/>
                <w:szCs w:val="40"/>
              </w:rPr>
              <w:t xml:space="preserve">Detalle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7C3AED"/>
                <w:sz w:val="40"/>
                <w:szCs w:val="40"/>
              </w:rPr>
              <w:t xml:space="preserve">Valor</w:t>
            </w:r>
          </w:p>
        </w:tc>
      </w:tr>
      <w:tr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Fase 1</w:t>
            </w:r>
          </w:p>
        </w:tc>
        <w:tc>
          <w:tcPr>
            <w:tcW w:w="36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Diagnóstico + diseño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$4.500.000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Fase 2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Implementación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$9.500.000</w:t>
            </w:r>
          </w:p>
        </w:tc>
      </w:tr>
      <w:tr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Fase 3</w:t>
            </w:r>
          </w:p>
        </w:tc>
        <w:tc>
          <w:tcPr>
            <w:tcW w:w="36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Capacitación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$2.000.000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Total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Pago en 2 cuotas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$16.000.000</w:t>
            </w:r>
          </w:p>
        </w:tc>
      </w:tr>
    </w:tbl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36"/>
          <w:szCs w:val="36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/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7C3AED"/>
          <w:sz w:val="56"/>
          <w:szCs w:val="56"/>
        </w:rPr>
        <w:t xml:space="preserve">4. Condiciones comerciales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7C3AED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50% de anticipo y saldo contra entrega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7C3AED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Garantía de 90 días sobre los entregables</w:t>
      </w:r>
    </w:p>
    <w:p>
      <w:pPr>
        <w:spacing w:before="480" w:after="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jc w:val="center"/>
      </w:pPr>
      <w:r>
        <w:rPr>
          <w:rFonts w:ascii="Calibri" w:hAnsi="Calibri" w:eastAsia="Calibri" w:cs="Calibri"/>
          <w:b w:val="0"/>
          <w:i w:val="0"/>
          <w:color w:val="6B7280"/>
          <w:sz w:val="32"/>
          <w:szCs w:val="32"/>
        </w:rPr>
        <w:t xml:space="preserve">Generado con Templa — plantilla de Propuesta · licencia gratuita</w:t>
      </w:r>
    </w:p>
    <w:sectPr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keepNext/>
      <w:spacing w:before="240" w:after="120"/>
    </w:pPr>
    <w:rPr>
      <w:rFonts w:ascii="Calibri" w:hAnsi="Calibri"/>
      <w:b/>
      <w:sz w:val="32"/>
      <w:szCs w:val="32"/>
    </w:rPr>
  </w:style>
  <w:style w:type="table" w:default="1" w:styleId="TableGrid">
    <w:name w:val="Normal Table"/>
    <w:tblPr>
      <w:tblInd w:w="0" w:type="dxa"/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Templa Office Builder</Application>
  <DocSecurity>0</DocSecurity>
  <ScaleCrop>false</ScaleCrop>
  <Company>Templa</Company>
  <Pages>3</Pages>
  <Words>0</Words>
  <Characters>0</Characters>
  <Lines>0</Lines>
  <Paragraphs>0</Paragraphs>
  <Template>Normal.dotm</Template>
  <TotalTime>0</TotalTime>
  <PresentationFormat>Letter</PresentationFormat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Propuesta de Servicios</dc:title>
  <dc:creator>Templa</dc:creator>
  <cp:lastModifiedBy>Templa</cp:lastModifiedBy>
  <dcterms:created xsi:type="dcterms:W3CDTF">2026-01-01T00:00:00Z</dcterms:created>
  <dcterms:modified xsi:type="dcterms:W3CDTF">2026-01-01T00:00:00Z</dcterms:modified>
</cp:coreProperties>
</file>