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2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B3B8C"/>
          <w:sz w:val="36"/>
          <w:szCs w:val="36"/>
        </w:rPr>
        <w:t xml:space="preserve">DOCUMENTO CORPORATIVO</w:t>
      </w:r>
    </w:p>
    <w:p>
      <w:pPr>
        <w:keepNext/>
        <w:spacing w:before="0" w:after="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15181F"/>
          <w:sz w:val="88"/>
          <w:szCs w:val="88"/>
        </w:rPr>
        <w:t xml:space="preserve">Informe de Gestión 2026</w:t>
      </w:r>
    </w:p>
    <w:p>
      <w:pPr>
        <w:spacing w:before="0" w:after="240" w:line="276" w:lineRule="auto"/>
        <w:rPr>
          <w:rFonts w:ascii="Calibri" w:hAnsi="Calibri" w:eastAsia="Calibri" w:cs="Calibri"/>
          <w:b w:val="0"/>
          <w:i w:val="0"/>
          <w:color w:val="64748B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Reporte ejecutivo de resultados, impacto y proyecciones.  ·  Departamento de Operaciones · Trimestre 3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B3B8C"/>
          <w:sz w:val="56"/>
          <w:szCs w:val="56"/>
        </w:rPr>
        <w:t xml:space="preserve">1. Resumen ejecutivo</w:t>
      </w:r>
    </w:p>
    <w:p>
      <w:pPr>
        <w:spacing w:before="0" w:after="1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Durante el trimestre la organización creció 18% en ingresos recurrentes, mantuvo su margen en 62% y redujo el churn a 1.2%, consolidando tres trimestres consecutivos de mejora operativa.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0B3B8C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Ingresos: $1.2M ARR, +18% vs trimestre anterior</w:t>
      </w:r>
    </w:p>
    <w:p>
      <w:pPr>
        <w:spacing w:before="40" w:after="100" w:line="276" w:lineRule="auto"/>
        <w:ind w:left="285" w:hanging="285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color w:val="0B3B8C"/>
          <w:sz w:val="22"/>
          <w:szCs w:val="22"/>
        </w:rPr>
        <w:t>•  </w:t>
      </w: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Satisfacción: NPS 68, récord histórico</w:t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B3B8C"/>
          <w:sz w:val="56"/>
          <w:szCs w:val="56"/>
        </w:rPr>
        <w:t xml:space="preserve">2. Dimensiones de seguimiento</w:t>
      </w:r>
    </w:p>
    <w:tbl>
      <w:tblPr>
        <w:tblStyle w:val="TableGrid"/>
        <w:tblW w:w="0" w:type="auto"/>
        <w:tblBorders>
          <w:top w:val="single" w:sz="4" w:space="0" w:color="DBE0EC"/>
          <w:left w:val="single" w:sz="4" w:space="0" w:color="DBE0EC"/>
          <w:bottom w:val="single" w:sz="4" w:space="0" w:color="DBE0EC"/>
          <w:right w:val="single" w:sz="4" w:space="0" w:color="DBE0EC"/>
          <w:insideH w:val="single" w:sz="4" w:space="0" w:color="DBE0EC"/>
          <w:insideV w:val="single" w:sz="4" w:space="0" w:color="DBE0EC"/>
        </w:tblBorders>
        <w:look w:val="04A0"/>
      </w:tblPr>
      <w:tblGrid>
        <w:gridCol w:w="2400"/>
        <w:gridCol w:w="1800"/>
        <w:gridCol w:w="1800"/>
        <w:gridCol w:w="1800"/>
      </w:tblGrid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0B3B8C"/>
                <w:sz w:val="40"/>
                <w:szCs w:val="40"/>
              </w:rPr>
              <w:t xml:space="preserve">Dimensión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0B3B8C"/>
                <w:sz w:val="40"/>
                <w:szCs w:val="40"/>
              </w:rPr>
              <w:t xml:space="preserve">Meta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0B3B8C"/>
                <w:sz w:val="40"/>
                <w:szCs w:val="40"/>
              </w:rPr>
              <w:t xml:space="preserve">Real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i w:val="0"/>
                <w:color w:val="0B3B8C"/>
                <w:sz w:val="40"/>
                <w:szCs w:val="40"/>
              </w:rPr>
              <w:t xml:space="preserve">Var.</w:t>
            </w:r>
          </w:p>
        </w:tc>
      </w:tr>
      <w:tr>
        <w:tc>
          <w:tcPr>
            <w:tcW w:w="24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Ingresos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$1.1M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$1.2M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+9%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Churn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1.5%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1.2%</w:t>
            </w:r>
          </w:p>
        </w:tc>
        <w:tc>
          <w:tcPr>
            <w:tcW w:w="1800" w:type="dxa"/>
            <w:shd w:val="clear" w:color="auto" w:fill="FFFFFF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−20%</w:t>
            </w:r>
          </w:p>
        </w:tc>
      </w:tr>
      <w:tr>
        <w:tc>
          <w:tcPr>
            <w:tcW w:w="24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NPS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60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68</w:t>
            </w:r>
          </w:p>
        </w:tc>
        <w:tc>
          <w:tcPr>
            <w:tcW w:w="1800" w:type="dxa"/>
            <w:shd w:val="clear" w:color="auto" w:fill="F2F4FA"/>
            <w:vAlign w:val="center"/>
          </w:tcPr>
          <w:p>
            <w:pPr>
              <w:spacing w:before="0" w:after="40" w:line="240" w:lineRule="auto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 w:val="0"/>
                <w:i w:val="0"/>
                <w:color w:val="22222F"/>
                <w:sz w:val="40"/>
                <w:szCs w:val="40"/>
              </w:rPr>
              <w:t xml:space="preserve">+8pts</w:t>
            </w:r>
          </w:p>
        </w:tc>
      </w:tr>
    </w:tbl>
    <w:p>
      <w:pPr>
        <w:spacing w:before="0" w:after="120" w:line="276" w:lineRule="auto"/>
        <w:rPr>
          <w:rFonts w:ascii="Calibri" w:hAnsi="Calibri" w:eastAsia="Calibri" w:cs="Calibri"/>
          <w:b w:val="0"/>
          <w:i w:val="0"/>
          <w:color w:val="22222F"/>
          <w:sz w:val="36"/>
          <w:szCs w:val="36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/>
      </w:r>
    </w:p>
    <w:p>
      <w:pPr>
        <w:keepNext/>
        <w:spacing w:before="240" w:after="18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/>
          <w:i w:val="0"/>
          <w:color w:val="0B3B8C"/>
          <w:sz w:val="56"/>
          <w:szCs w:val="56"/>
        </w:rPr>
        <w:t xml:space="preserve">3. Conclusiones</w:t>
      </w:r>
    </w:p>
    <w:p>
      <w:pPr>
        <w:spacing w:before="0" w:after="16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</w:pPr>
      <w:r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t xml:space="preserve">Se recomienda redoblar la inversión en retención de cuentas enterprise y preparar la escalabilidad comercial para el próximo ciclo.</w:t>
      </w:r>
    </w:p>
    <w:p>
      <w:pPr>
        <w:spacing w:before="480" w:after="0" w:line="276" w:lineRule="auto"/>
        <w:rPr>
          <w:rFonts w:ascii="Calibri" w:hAnsi="Calibri" w:eastAsia="Calibri" w:cs="Calibri"/>
          <w:b w:val="0"/>
          <w:i w:val="0"/>
          <w:color w:val="22222F"/>
          <w:sz w:val="44"/>
          <w:szCs w:val="44"/>
        </w:rPr>
        <w:jc w:val="center"/>
      </w:pPr>
      <w:r>
        <w:rPr>
          <w:rFonts w:ascii="Calibri" w:hAnsi="Calibri" w:eastAsia="Calibri" w:cs="Calibri"/>
          <w:b w:val="0"/>
          <w:i w:val="0"/>
          <w:color w:val="64748B"/>
          <w:sz w:val="32"/>
          <w:szCs w:val="32"/>
        </w:rPr>
        <w:t xml:space="preserve">Generado con Templa — plantilla de Informe · licencia gratuita</w:t>
      </w:r>
    </w:p>
    <w:sectPr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pPr>
      <w:keepNext/>
      <w:spacing w:before="240" w:after="120"/>
    </w:pPr>
    <w:rPr>
      <w:rFonts w:ascii="Calibri" w:hAnsi="Calibri"/>
      <w:b/>
      <w:sz w:val="32"/>
      <w:szCs w:val="32"/>
    </w:rPr>
  </w:style>
  <w:style w:type="table" w:default="1" w:styleId="TableGrid">
    <w:name w:val="Normal Table"/>
    <w:tblPr>
      <w:tblInd w:w="0" w:type="dxa"/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Templa Office Builder</Application>
  <DocSecurity>0</DocSecurity>
  <ScaleCrop>false</ScaleCrop>
  <Company>Templa</Company>
  <Pages>3</Pages>
  <Words>0</Words>
  <Characters>0</Characters>
  <Lines>0</Lines>
  <Paragraphs>0</Paragraphs>
  <Template>Normal.dotm</Template>
  <TotalTime>0</TotalTime>
  <PresentationFormat>Letter</PresentationFormat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de Gestión 2026</dc:title>
  <dc:creator>Templa</dc:creator>
  <cp:lastModifiedBy>Templa</cp:lastModifiedBy>
  <dcterms:created xsi:type="dcterms:W3CDTF">2026-01-01T00:00:00Z</dcterms:created>
  <dcterms:modified xsi:type="dcterms:W3CDTF">2026-01-01T00:00:00Z</dcterms:modified>
</cp:coreProperties>
</file>