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06374" w14:textId="77777777" w:rsidR="00484928" w:rsidRDefault="00000000">
      <w:pPr>
        <w:spacing w:after="40"/>
      </w:pPr>
      <w:r>
        <w:rPr>
          <w:b/>
          <w:bCs/>
          <w:sz w:val="40"/>
          <w:szCs w:val="40"/>
        </w:rPr>
        <w:t>Política de Privacidad</w:t>
      </w:r>
    </w:p>
    <w:p w14:paraId="7EF43620" w14:textId="77777777" w:rsidR="00484928" w:rsidRDefault="00000000">
      <w:pPr>
        <w:pBdr>
          <w:bottom w:val="single" w:sz="14" w:space="8" w:color="E93223"/>
        </w:pBdr>
        <w:spacing w:after="140"/>
      </w:pPr>
      <w:r>
        <w:rPr>
          <w:color w:val="E93223"/>
          <w:sz w:val="22"/>
          <w:szCs w:val="22"/>
        </w:rPr>
        <w:t>Sixth Sense Pay — Billetera de Autocustodia</w:t>
      </w:r>
    </w:p>
    <w:p w14:paraId="79CD536C" w14:textId="77777777" w:rsidR="00484928" w:rsidRDefault="00000000">
      <w:pPr>
        <w:spacing w:after="20"/>
      </w:pPr>
      <w:r>
        <w:rPr>
          <w:b/>
          <w:bCs/>
          <w:sz w:val="16"/>
          <w:szCs w:val="16"/>
        </w:rPr>
        <w:t xml:space="preserve">Responsable del tratamiento  </w:t>
      </w:r>
      <w:r>
        <w:rPr>
          <w:color w:val="6B6B6B"/>
          <w:sz w:val="16"/>
          <w:szCs w:val="16"/>
        </w:rPr>
        <w:t>"Sixth Sense Group" d.o.o. Bijeljina</w:t>
      </w:r>
    </w:p>
    <w:p w14:paraId="5506425B" w14:textId="77777777" w:rsidR="00484928" w:rsidRDefault="00000000">
      <w:pPr>
        <w:spacing w:after="20"/>
      </w:pPr>
      <w:r>
        <w:rPr>
          <w:b/>
          <w:bCs/>
          <w:sz w:val="16"/>
          <w:szCs w:val="16"/>
        </w:rPr>
        <w:t xml:space="preserve">Domicilio legal  </w:t>
      </w:r>
      <w:r>
        <w:rPr>
          <w:color w:val="6B6B6B"/>
          <w:sz w:val="16"/>
          <w:szCs w:val="16"/>
        </w:rPr>
        <w:t>Meše Selimovića 4, Bijeljina, Bosnia y Herzegovina</w:t>
      </w:r>
    </w:p>
    <w:p w14:paraId="6C2C7B17" w14:textId="77777777" w:rsidR="00484928" w:rsidRDefault="00000000">
      <w:pPr>
        <w:spacing w:after="20"/>
      </w:pPr>
      <w:r>
        <w:rPr>
          <w:b/>
          <w:bCs/>
          <w:sz w:val="16"/>
          <w:szCs w:val="16"/>
        </w:rPr>
        <w:t xml:space="preserve">ID de sociedad (MB) / ID fiscal (JIB)  </w:t>
      </w:r>
      <w:r>
        <w:rPr>
          <w:color w:val="6B6B6B"/>
          <w:sz w:val="16"/>
          <w:szCs w:val="16"/>
        </w:rPr>
        <w:t>18109220 / 4405524210007</w:t>
      </w:r>
    </w:p>
    <w:p w14:paraId="017B1FFD" w14:textId="77777777" w:rsidR="00484928" w:rsidRDefault="00000000">
      <w:pPr>
        <w:spacing w:after="20"/>
      </w:pPr>
      <w:r>
        <w:rPr>
          <w:b/>
          <w:bCs/>
          <w:sz w:val="16"/>
          <w:szCs w:val="16"/>
        </w:rPr>
        <w:t xml:space="preserve">Sitio web  </w:t>
      </w:r>
      <w:r>
        <w:rPr>
          <w:color w:val="6B6B6B"/>
          <w:sz w:val="16"/>
          <w:szCs w:val="16"/>
        </w:rPr>
        <w:t>sixthsensepay.com</w:t>
      </w:r>
    </w:p>
    <w:p w14:paraId="6B86DF56" w14:textId="77777777" w:rsidR="00484928" w:rsidRDefault="00000000">
      <w:pPr>
        <w:spacing w:after="20"/>
      </w:pPr>
      <w:r>
        <w:rPr>
          <w:b/>
          <w:bCs/>
          <w:sz w:val="16"/>
          <w:szCs w:val="16"/>
        </w:rPr>
        <w:t xml:space="preserve">Contacto de privacidad y reclamos  </w:t>
      </w:r>
      <w:r>
        <w:rPr>
          <w:color w:val="6B6B6B"/>
          <w:sz w:val="16"/>
          <w:szCs w:val="16"/>
        </w:rPr>
        <w:t>soporte@sixthsensepay.com</w:t>
      </w:r>
    </w:p>
    <w:p w14:paraId="3032C973" w14:textId="777E0969" w:rsidR="00484928" w:rsidRDefault="00000000">
      <w:pPr>
        <w:spacing w:after="20"/>
      </w:pPr>
      <w:r>
        <w:rPr>
          <w:b/>
          <w:bCs/>
          <w:sz w:val="16"/>
          <w:szCs w:val="16"/>
        </w:rPr>
        <w:t xml:space="preserve">Versión / Fecha de vigencia  </w:t>
      </w:r>
      <w:r w:rsidR="00A2487E">
        <w:rPr>
          <w:color w:val="6B6B6B"/>
          <w:sz w:val="16"/>
          <w:szCs w:val="16"/>
        </w:rPr>
        <w:t xml:space="preserve">Julio 1 2026 </w:t>
      </w:r>
    </w:p>
    <w:p w14:paraId="276712AD" w14:textId="77777777" w:rsidR="00484928" w:rsidRDefault="00484928">
      <w:pPr>
        <w:spacing w:after="80"/>
      </w:pPr>
    </w:p>
    <w:p w14:paraId="38443EC8" w14:textId="77777777" w:rsidR="00484928" w:rsidRDefault="00000000">
      <w:pPr>
        <w:pStyle w:val="Heading1"/>
        <w:keepNext/>
        <w:spacing w:before="220" w:after="80"/>
      </w:pPr>
      <w:r>
        <w:rPr>
          <w:b/>
          <w:bCs/>
          <w:color w:val="E93223"/>
          <w:sz w:val="24"/>
          <w:szCs w:val="24"/>
        </w:rPr>
        <w:t>1.  Introducción y responsable del tratamiento</w:t>
      </w:r>
    </w:p>
    <w:p w14:paraId="2D294085" w14:textId="77777777" w:rsidR="00484928" w:rsidRDefault="00000000">
      <w:pPr>
        <w:spacing w:after="100" w:line="264" w:lineRule="auto"/>
        <w:jc w:val="both"/>
      </w:pPr>
      <w:r>
        <w:t>Esta Política de Privacidad explica cómo "Sixth Sense Group" d.o.o. Bijeljina ("Sixth Sense Pay", "nosotros" o "nuestro") trata los datos personales en relación con la aplicación de billetera de autocustodia Sixth Sense Pay y el sitio web relacionado (en conjunto, la "App"). Somos el responsable del tratamiento. Nuestro domicilio legal es Meše Selimovića 4, Bijeljina, Bosnia y Herzegovina. Para cualquier consulta, solicitud o reclamo sobre privacidad, escriba a soporte@sixthsensepay.com.</w:t>
      </w:r>
    </w:p>
    <w:p w14:paraId="229CFB32" w14:textId="77777777" w:rsidR="00484928" w:rsidRDefault="00000000">
      <w:pPr>
        <w:spacing w:after="100" w:line="264" w:lineRule="auto"/>
        <w:jc w:val="both"/>
      </w:pPr>
      <w:r>
        <w:t>Estamos comprometidos con la protección de su privacidad y con el tratamiento de los datos personales de conformidad con la normativa de protección de datos aplicable, incluida la de Bosnia y Herzegovina y la de los países donde se encuentran nuestros usuarios: Argentina, Paraguay, Uruguay y Brasil.</w:t>
      </w:r>
    </w:p>
    <w:p w14:paraId="7B5D6E93" w14:textId="77777777" w:rsidR="00484928" w:rsidRDefault="00000000">
      <w:pPr>
        <w:pStyle w:val="Heading1"/>
        <w:keepNext/>
        <w:spacing w:before="220" w:after="80"/>
      </w:pPr>
      <w:r>
        <w:rPr>
          <w:b/>
          <w:bCs/>
          <w:color w:val="E93223"/>
          <w:sz w:val="24"/>
          <w:szCs w:val="24"/>
        </w:rPr>
        <w:t>2.  Privacidad desde el diseño: una billetera de autocustodia</w:t>
      </w:r>
    </w:p>
    <w:p w14:paraId="4A67ED32" w14:textId="77777777" w:rsidR="00484928" w:rsidRDefault="00000000">
      <w:pPr>
        <w:spacing w:after="100" w:line="264" w:lineRule="auto"/>
        <w:jc w:val="both"/>
      </w:pPr>
      <w:r>
        <w:t>La App es una billetera de autocustodia. Nunca recopilamos, poseemos ni accedemos a sus Claves Privadas ni a su Frase de Recuperación: estas se generan y almacenan únicamente en su dispositivo y permanecen bajo su exclusivo control. No exigimos verificación de identidad ("KYC") para que usted almacene, envíe o reciba activos virtuales mediante la App. Como resultado, recopilamos solo una cantidad limitada de datos personales, según se describe a continuación.</w:t>
      </w:r>
    </w:p>
    <w:p w14:paraId="1003714E" w14:textId="77777777" w:rsidR="00484928" w:rsidRDefault="00000000">
      <w:pPr>
        <w:pStyle w:val="Heading1"/>
        <w:keepNext/>
        <w:spacing w:before="220" w:after="80"/>
      </w:pPr>
      <w:r>
        <w:rPr>
          <w:b/>
          <w:bCs/>
          <w:color w:val="E93223"/>
          <w:sz w:val="24"/>
          <w:szCs w:val="24"/>
        </w:rPr>
        <w:t>3.  Datos personales que recopilamos</w:t>
      </w:r>
    </w:p>
    <w:p w14:paraId="6F1E8484" w14:textId="77777777" w:rsidR="00484928" w:rsidRDefault="00000000">
      <w:pPr>
        <w:keepNext/>
        <w:spacing w:before="120" w:after="50"/>
      </w:pPr>
      <w:r>
        <w:rPr>
          <w:b/>
          <w:bCs/>
        </w:rPr>
        <w:t>Datos que usted nos proporciona</w:t>
      </w:r>
    </w:p>
    <w:p w14:paraId="00CEAB3A" w14:textId="77777777" w:rsidR="00484928" w:rsidRDefault="00000000">
      <w:pPr>
        <w:pStyle w:val="ListParagraph"/>
        <w:numPr>
          <w:ilvl w:val="0"/>
          <w:numId w:val="2"/>
        </w:numPr>
        <w:spacing w:after="60" w:line="260" w:lineRule="auto"/>
        <w:jc w:val="both"/>
      </w:pPr>
      <w:r>
        <w:t>datos de contacto y soporte: su nombre, dirección de correo electrónico y el contenido de su mensaje cuando nos contacta (por ejemplo, a soporte@sixthsensepay.com); y</w:t>
      </w:r>
    </w:p>
    <w:p w14:paraId="138B7982" w14:textId="77777777" w:rsidR="00484928" w:rsidRDefault="00000000">
      <w:pPr>
        <w:pStyle w:val="ListParagraph"/>
        <w:numPr>
          <w:ilvl w:val="0"/>
          <w:numId w:val="2"/>
        </w:numPr>
        <w:spacing w:after="60" w:line="260" w:lineRule="auto"/>
        <w:jc w:val="both"/>
      </w:pPr>
      <w:r>
        <w:t>cualquier otra información que usted decida proporcionar.</w:t>
      </w:r>
    </w:p>
    <w:p w14:paraId="68C134DC" w14:textId="77777777" w:rsidR="00484928" w:rsidRDefault="00000000">
      <w:pPr>
        <w:keepNext/>
        <w:spacing w:before="120" w:after="50"/>
      </w:pPr>
      <w:r>
        <w:rPr>
          <w:b/>
          <w:bCs/>
        </w:rPr>
        <w:t>Datos recopilados automáticamente cuando utiliza la App</w:t>
      </w:r>
    </w:p>
    <w:p w14:paraId="5715CFF2" w14:textId="77777777" w:rsidR="00484928" w:rsidRDefault="00000000">
      <w:pPr>
        <w:pStyle w:val="ListParagraph"/>
        <w:numPr>
          <w:ilvl w:val="0"/>
          <w:numId w:val="2"/>
        </w:numPr>
        <w:spacing w:after="60" w:line="260" w:lineRule="auto"/>
        <w:jc w:val="both"/>
      </w:pPr>
      <w:r>
        <w:t>datos de dispositivo y técnicos: tipo de dispositivo, sistema operativo, versión de la App, configuración de idioma e identificadores de dispositivo;</w:t>
      </w:r>
    </w:p>
    <w:p w14:paraId="7AD76E59" w14:textId="77777777" w:rsidR="00484928" w:rsidRDefault="00000000">
      <w:pPr>
        <w:pStyle w:val="ListParagraph"/>
        <w:numPr>
          <w:ilvl w:val="0"/>
          <w:numId w:val="2"/>
        </w:numPr>
        <w:spacing w:after="60" w:line="260" w:lineRule="auto"/>
        <w:jc w:val="both"/>
      </w:pPr>
      <w:r>
        <w:t>datos de red: dirección IP y la ubicación aproximada derivada de ella;</w:t>
      </w:r>
    </w:p>
    <w:p w14:paraId="35B13AB4" w14:textId="77777777" w:rsidR="00484928" w:rsidRDefault="00000000">
      <w:pPr>
        <w:pStyle w:val="ListParagraph"/>
        <w:numPr>
          <w:ilvl w:val="0"/>
          <w:numId w:val="2"/>
        </w:numPr>
        <w:spacing w:after="60" w:line="260" w:lineRule="auto"/>
        <w:jc w:val="both"/>
      </w:pPr>
      <w:r>
        <w:t>datos de uso y diagnóstico: interacciones con la App e información de diagnóstico o de fallos; y</w:t>
      </w:r>
    </w:p>
    <w:p w14:paraId="6B25D44B" w14:textId="77777777" w:rsidR="00484928" w:rsidRDefault="00000000">
      <w:pPr>
        <w:pStyle w:val="ListParagraph"/>
        <w:numPr>
          <w:ilvl w:val="0"/>
          <w:numId w:val="2"/>
        </w:numPr>
        <w:spacing w:after="60" w:line="260" w:lineRule="auto"/>
        <w:jc w:val="both"/>
      </w:pPr>
      <w:r>
        <w:t>cookies y tecnologías similares en nuestro sitio web (véase la Sección 13).</w:t>
      </w:r>
    </w:p>
    <w:p w14:paraId="254E3756" w14:textId="77777777" w:rsidR="00484928" w:rsidRDefault="00000000">
      <w:pPr>
        <w:keepNext/>
        <w:spacing w:before="120" w:after="50"/>
      </w:pPr>
      <w:r>
        <w:rPr>
          <w:b/>
          <w:bCs/>
        </w:rPr>
        <w:t>Datos en la cadena de bloques</w:t>
      </w:r>
    </w:p>
    <w:p w14:paraId="44AD9BE9" w14:textId="77777777" w:rsidR="00484928" w:rsidRDefault="00000000">
      <w:pPr>
        <w:spacing w:after="100" w:line="264" w:lineRule="auto"/>
        <w:jc w:val="both"/>
      </w:pPr>
      <w:r>
        <w:t>Las direcciones públicas de billetera, los hashes de transacción, los montos y las marcas de tiempo que usted genera quedan registrados en la cadena de bloques pública. Estos datos son públicos por naturaleza y no son creados ni controlados por nosotros.</w:t>
      </w:r>
    </w:p>
    <w:p w14:paraId="5342FFED" w14:textId="77777777" w:rsidR="00484928" w:rsidRDefault="00000000">
      <w:pPr>
        <w:keepNext/>
        <w:spacing w:before="120" w:after="50"/>
      </w:pPr>
      <w:r>
        <w:rPr>
          <w:b/>
          <w:bCs/>
        </w:rPr>
        <w:t>Lo que no recopilamos</w:t>
      </w:r>
    </w:p>
    <w:p w14:paraId="4C610F79" w14:textId="77777777" w:rsidR="00484928" w:rsidRDefault="00000000">
      <w:pPr>
        <w:spacing w:after="100" w:line="264" w:lineRule="auto"/>
        <w:jc w:val="both"/>
      </w:pPr>
      <w:r>
        <w:t>No recopilamos su Frase de Recuperación, sus Claves Privadas ni el contenido de su billetera más allá de lo que queda registrado públicamente en la cadena de bloques.</w:t>
      </w:r>
    </w:p>
    <w:p w14:paraId="429B6FC5" w14:textId="77777777" w:rsidR="00484928" w:rsidRDefault="00000000">
      <w:pPr>
        <w:keepNext/>
        <w:spacing w:before="120" w:after="50"/>
      </w:pPr>
      <w:r>
        <w:rPr>
          <w:b/>
          <w:bCs/>
        </w:rPr>
        <w:t>Servicios de Terceros (on-ramp, off-ramp, swaps)</w:t>
      </w:r>
    </w:p>
    <w:p w14:paraId="601BB819" w14:textId="77777777" w:rsidR="00484928" w:rsidRDefault="00000000">
      <w:pPr>
        <w:spacing w:after="100" w:line="264" w:lineRule="auto"/>
        <w:jc w:val="both"/>
      </w:pPr>
      <w:r>
        <w:t>Si usted elige utilizar Servicios de Terceros como el ingreso/egreso de fondos fiat o los swaps, el proveedor correspondiente recopila y trata sus datos de verificación de identidad (KYC) y de transacción como responsable del tratamiento independiente, bajo su propia política de privacidad. Podemos recibir datos limitados de confirmación, como el hecho de que la verificación fue exitosa o una referencia de transacción.</w:t>
      </w:r>
    </w:p>
    <w:p w14:paraId="227287A0" w14:textId="77777777" w:rsidR="00484928" w:rsidRDefault="00000000">
      <w:pPr>
        <w:pStyle w:val="Heading1"/>
        <w:keepNext/>
        <w:spacing w:before="220" w:after="80"/>
      </w:pPr>
      <w:r>
        <w:rPr>
          <w:b/>
          <w:bCs/>
          <w:color w:val="E93223"/>
          <w:sz w:val="24"/>
          <w:szCs w:val="24"/>
        </w:rPr>
        <w:lastRenderedPageBreak/>
        <w:t>4.  Cómo utilizamos los datos personales y bases de licitud</w:t>
      </w:r>
    </w:p>
    <w:p w14:paraId="1EC9D839" w14:textId="77777777" w:rsidR="00484928" w:rsidRDefault="00000000">
      <w:pPr>
        <w:spacing w:after="100" w:line="264" w:lineRule="auto"/>
        <w:jc w:val="both"/>
      </w:pPr>
      <w:r>
        <w:t>Utilizamos los datos personales para:</w:t>
      </w:r>
    </w:p>
    <w:p w14:paraId="4078C70B" w14:textId="77777777" w:rsidR="00484928" w:rsidRDefault="00000000">
      <w:pPr>
        <w:pStyle w:val="ListParagraph"/>
        <w:numPr>
          <w:ilvl w:val="0"/>
          <w:numId w:val="2"/>
        </w:numPr>
        <w:spacing w:after="60" w:line="260" w:lineRule="auto"/>
        <w:jc w:val="both"/>
      </w:pPr>
      <w:r>
        <w:t>proveer, mantener y dar soporte a la App;</w:t>
      </w:r>
    </w:p>
    <w:p w14:paraId="7478BDA5" w14:textId="77777777" w:rsidR="00484928" w:rsidRDefault="00000000">
      <w:pPr>
        <w:pStyle w:val="ListParagraph"/>
        <w:numPr>
          <w:ilvl w:val="0"/>
          <w:numId w:val="2"/>
        </w:numPr>
        <w:spacing w:after="60" w:line="260" w:lineRule="auto"/>
        <w:jc w:val="both"/>
      </w:pPr>
      <w:r>
        <w:t>proteger la App y prevenir, detectar e investigar fraudes, abusos e incidentes de seguridad;</w:t>
      </w:r>
    </w:p>
    <w:p w14:paraId="57105C2D" w14:textId="77777777" w:rsidR="00484928" w:rsidRDefault="00000000">
      <w:pPr>
        <w:pStyle w:val="ListParagraph"/>
        <w:numPr>
          <w:ilvl w:val="0"/>
          <w:numId w:val="2"/>
        </w:numPr>
        <w:spacing w:after="60" w:line="260" w:lineRule="auto"/>
        <w:jc w:val="both"/>
      </w:pPr>
      <w:r>
        <w:t>cumplir con obligaciones legales, incluida la prevención de lavado de activos y financiamiento del terrorismo (PLA/FT), el análisis contra listas de sanciones y el monitoreo de transacciones (KYT) aplicado a las direcciones públicas de billetera que interactúan con nuestra infraestructura;</w:t>
      </w:r>
    </w:p>
    <w:p w14:paraId="29AD0024" w14:textId="77777777" w:rsidR="00484928" w:rsidRDefault="00000000">
      <w:pPr>
        <w:pStyle w:val="ListParagraph"/>
        <w:numPr>
          <w:ilvl w:val="0"/>
          <w:numId w:val="2"/>
        </w:numPr>
        <w:spacing w:after="60" w:line="260" w:lineRule="auto"/>
        <w:jc w:val="both"/>
      </w:pPr>
      <w:r>
        <w:t>responder a sus solicitudes de soporte;</w:t>
      </w:r>
    </w:p>
    <w:p w14:paraId="6CEB3E17" w14:textId="77777777" w:rsidR="00484928" w:rsidRDefault="00000000">
      <w:pPr>
        <w:pStyle w:val="ListParagraph"/>
        <w:numPr>
          <w:ilvl w:val="0"/>
          <w:numId w:val="2"/>
        </w:numPr>
        <w:spacing w:after="60" w:line="260" w:lineRule="auto"/>
        <w:jc w:val="both"/>
      </w:pPr>
      <w:r>
        <w:t>analizar y mejorar la App; y</w:t>
      </w:r>
    </w:p>
    <w:p w14:paraId="17B9F078" w14:textId="77777777" w:rsidR="00484928" w:rsidRDefault="00000000">
      <w:pPr>
        <w:pStyle w:val="ListParagraph"/>
        <w:numPr>
          <w:ilvl w:val="0"/>
          <w:numId w:val="2"/>
        </w:numPr>
        <w:spacing w:after="60" w:line="260" w:lineRule="auto"/>
        <w:jc w:val="both"/>
      </w:pPr>
      <w:r>
        <w:t>enviarle avisos de servicio, seguridad y legales.</w:t>
      </w:r>
    </w:p>
    <w:p w14:paraId="534AE5AA" w14:textId="77777777" w:rsidR="00484928" w:rsidRDefault="00000000">
      <w:pPr>
        <w:spacing w:after="100" w:line="264" w:lineRule="auto"/>
        <w:jc w:val="both"/>
      </w:pPr>
      <w:r>
        <w:t>Según la ley que lo protege, nos basamos en las siguientes bases de licitud: la ejecución de un contrato con usted (la provisión de la App); nuestro interés legítimo en la seguridad, la integridad y la mejora de la App, ponderado con sus derechos y libertades; el cumplimiento de una obligación legal (PLA/FT, sanciones y conservación de registros); y su consentimiento cuando sea necesario (por ejemplo, para determinadas cookies o analíticas), que puede retirar en cualquier momento.</w:t>
      </w:r>
    </w:p>
    <w:p w14:paraId="7B597BD4" w14:textId="77777777" w:rsidR="00484928" w:rsidRDefault="00000000">
      <w:pPr>
        <w:pStyle w:val="Heading1"/>
        <w:keepNext/>
        <w:spacing w:before="220" w:after="80"/>
      </w:pPr>
      <w:r>
        <w:rPr>
          <w:b/>
          <w:bCs/>
          <w:color w:val="E93223"/>
          <w:sz w:val="24"/>
          <w:szCs w:val="24"/>
        </w:rPr>
        <w:t>5.  Monitoreo de transacciones y análisis de sanciones</w:t>
      </w:r>
    </w:p>
    <w:p w14:paraId="32F06263" w14:textId="77777777" w:rsidR="00484928" w:rsidRDefault="00000000">
      <w:pPr>
        <w:spacing w:after="100" w:line="264" w:lineRule="auto"/>
        <w:jc w:val="both"/>
      </w:pPr>
      <w:r>
        <w:t>Para cumplir con obligaciones legales y prevenir el delito financiero, las direcciones de billetera y las transacciones que interactúan con nuestra infraestructura y con los Servicios de Terceros pueden ser analizadas y calificadas por riesgo mediante herramientas especializadas de análisis de cadena de bloques (Know Your Transaction o "KYT"). Este tratamiento utiliza datos de la cadena de bloques y no implica ningún acceso a sus claves ni a sus fondos. Cuando surge una coincidencia con listas de sanciones o un indicador de alto riesgo, podemos restringir el acceso a la App o a los Servicios de Terceros y, cuando la ley lo exija, reportar a las autoridades competentes.</w:t>
      </w:r>
    </w:p>
    <w:p w14:paraId="4AFB38DF" w14:textId="77777777" w:rsidR="00484928" w:rsidRDefault="00000000">
      <w:pPr>
        <w:spacing w:after="100" w:line="264" w:lineRule="auto"/>
        <w:jc w:val="both"/>
      </w:pPr>
      <w:r>
        <w:t>Este análisis puede implicar un procesamiento automatizado. No produce un efecto jurídico que lo prive de la custodia de sus activos, que siempre permanecen bajo su control. Cuando una decisión automatizada lo afecte de manera significativa, usted puede solicitar la intervención humana y cuestionar la decisión conforme a la ley aplicable.</w:t>
      </w:r>
    </w:p>
    <w:p w14:paraId="22C192BD" w14:textId="77777777" w:rsidR="00484928" w:rsidRDefault="00000000">
      <w:pPr>
        <w:pStyle w:val="Heading1"/>
        <w:keepNext/>
        <w:spacing w:before="220" w:after="80"/>
      </w:pPr>
      <w:r>
        <w:rPr>
          <w:b/>
          <w:bCs/>
          <w:color w:val="E93223"/>
          <w:sz w:val="24"/>
          <w:szCs w:val="24"/>
        </w:rPr>
        <w:t>6.  Comunicación y divulgación de datos</w:t>
      </w:r>
    </w:p>
    <w:p w14:paraId="77271A53" w14:textId="77777777" w:rsidR="00484928" w:rsidRDefault="00000000">
      <w:pPr>
        <w:spacing w:after="100" w:line="264" w:lineRule="auto"/>
        <w:jc w:val="both"/>
      </w:pPr>
      <w:r>
        <w:t>Compartimos datos personales con:</w:t>
      </w:r>
    </w:p>
    <w:p w14:paraId="3229CECD" w14:textId="77777777" w:rsidR="00484928" w:rsidRDefault="00000000">
      <w:pPr>
        <w:pStyle w:val="ListParagraph"/>
        <w:numPr>
          <w:ilvl w:val="0"/>
          <w:numId w:val="2"/>
        </w:numPr>
        <w:spacing w:after="60" w:line="260" w:lineRule="auto"/>
        <w:jc w:val="both"/>
      </w:pPr>
      <w:r>
        <w:t>proveedores de servicios y encargados que actúan por cuenta nuestra en virtud de un contrato (por ejemplo, alojamiento en la nube, analíticas, reporte de fallos, análisis de cadena de bloques/KYT y herramientas de atención al cliente);</w:t>
      </w:r>
    </w:p>
    <w:p w14:paraId="08EF507D" w14:textId="77777777" w:rsidR="00484928" w:rsidRDefault="00000000">
      <w:pPr>
        <w:pStyle w:val="ListParagraph"/>
        <w:numPr>
          <w:ilvl w:val="0"/>
          <w:numId w:val="2"/>
        </w:numPr>
        <w:spacing w:after="60" w:line="260" w:lineRule="auto"/>
        <w:jc w:val="both"/>
      </w:pPr>
      <w:r>
        <w:t>proveedores de Servicios de Terceros que usted elija utilizar, que actúan como responsables independientes;</w:t>
      </w:r>
    </w:p>
    <w:p w14:paraId="5FEF7FDC" w14:textId="77777777" w:rsidR="00484928" w:rsidRDefault="00000000">
      <w:pPr>
        <w:pStyle w:val="ListParagraph"/>
        <w:numPr>
          <w:ilvl w:val="0"/>
          <w:numId w:val="2"/>
        </w:numPr>
        <w:spacing w:after="60" w:line="260" w:lineRule="auto"/>
        <w:jc w:val="both"/>
      </w:pPr>
      <w:r>
        <w:t>autoridades competentes, reguladores y organismos de aplicación de la ley cuando la ley lo exija, incluidas la Unidad de Inteligencia Financiera y APIF de Bosnia y Herzegovina; y</w:t>
      </w:r>
    </w:p>
    <w:p w14:paraId="0208FA76" w14:textId="77777777" w:rsidR="00484928" w:rsidRDefault="00000000">
      <w:pPr>
        <w:pStyle w:val="ListParagraph"/>
        <w:numPr>
          <w:ilvl w:val="0"/>
          <w:numId w:val="2"/>
        </w:numPr>
        <w:spacing w:after="60" w:line="260" w:lineRule="auto"/>
        <w:jc w:val="both"/>
      </w:pPr>
      <w:r>
        <w:t>asesores profesionales, o una entidad sucesora en relación con una operación societaria como una fusión o adquisición.</w:t>
      </w:r>
    </w:p>
    <w:p w14:paraId="2D7D24AF" w14:textId="77777777" w:rsidR="00484928" w:rsidRDefault="00000000">
      <w:pPr>
        <w:spacing w:after="100" w:line="264" w:lineRule="auto"/>
        <w:jc w:val="both"/>
      </w:pPr>
      <w:r>
        <w:t>No vendemos sus datos personales.</w:t>
      </w:r>
    </w:p>
    <w:p w14:paraId="34F520AC" w14:textId="77777777" w:rsidR="00484928" w:rsidRDefault="00000000">
      <w:pPr>
        <w:pStyle w:val="Heading1"/>
        <w:keepNext/>
        <w:spacing w:before="220" w:after="80"/>
      </w:pPr>
      <w:r>
        <w:rPr>
          <w:b/>
          <w:bCs/>
          <w:color w:val="E93223"/>
          <w:sz w:val="24"/>
          <w:szCs w:val="24"/>
        </w:rPr>
        <w:t>7.  Transferencias internacionales</w:t>
      </w:r>
    </w:p>
    <w:p w14:paraId="3AF341D3" w14:textId="77777777" w:rsidR="00484928" w:rsidRDefault="00000000">
      <w:pPr>
        <w:spacing w:after="100" w:line="264" w:lineRule="auto"/>
        <w:jc w:val="both"/>
      </w:pPr>
      <w:r>
        <w:t>Tenemos nuestra sede en Bosnia y Herzegovina y podemos tratar datos personales allí, en la Unión Europea / Espacio Económico Europeo y en otros países donde operan nuestros proveedores de servicios. Cuando los datos personales se transfieren a través de fronteras, nos basamos en las garantías adecuadas reconocidas por la ley aplicable, como una decisión de adecuación, cláusulas contractuales tipo o su consentimiento. La Unión Europea y Uruguay están reconocidos como países que brindan un nivel adecuado de protección de datos; para las transferencias a otros países implementamos garantías contractuales y técnicas.</w:t>
      </w:r>
    </w:p>
    <w:p w14:paraId="2130FF3D" w14:textId="77777777" w:rsidR="00484928" w:rsidRDefault="00000000">
      <w:pPr>
        <w:pStyle w:val="Heading1"/>
        <w:keepNext/>
        <w:spacing w:before="220" w:after="80"/>
      </w:pPr>
      <w:r>
        <w:rPr>
          <w:b/>
          <w:bCs/>
          <w:color w:val="E93223"/>
          <w:sz w:val="24"/>
          <w:szCs w:val="24"/>
        </w:rPr>
        <w:t>8.  Los datos en la cadena de bloques son públicos y permanentes</w:t>
      </w:r>
    </w:p>
    <w:p w14:paraId="6FBC9ADA" w14:textId="77777777" w:rsidR="00484928" w:rsidRDefault="00000000">
      <w:pPr>
        <w:spacing w:after="100" w:line="264" w:lineRule="auto"/>
        <w:jc w:val="both"/>
      </w:pPr>
      <w:r>
        <w:t>Las transacciones que usted realiza quedan registradas en cadenas de bloques públicas que no controlamos. Los datos en la cadena de bloques son públicos, inmutables y, por lo general, no pueden modificarse ni eliminarse, tampoco por nosotros. Esto limita nuestra capacidad de atender ciertas solicitudes —como una solicitud de supresión— respecto de los datos ya registrados en la cadena de bloques.</w:t>
      </w:r>
    </w:p>
    <w:p w14:paraId="318D9947" w14:textId="77777777" w:rsidR="00484928" w:rsidRDefault="00000000">
      <w:pPr>
        <w:pStyle w:val="Heading1"/>
        <w:keepNext/>
        <w:spacing w:before="220" w:after="80"/>
      </w:pPr>
      <w:r>
        <w:rPr>
          <w:b/>
          <w:bCs/>
          <w:color w:val="E93223"/>
          <w:sz w:val="24"/>
          <w:szCs w:val="24"/>
        </w:rPr>
        <w:lastRenderedPageBreak/>
        <w:t>9.  Conservación de los datos</w:t>
      </w:r>
    </w:p>
    <w:p w14:paraId="203E0AD7" w14:textId="77777777" w:rsidR="00484928" w:rsidRDefault="00000000">
      <w:pPr>
        <w:spacing w:after="100" w:line="264" w:lineRule="auto"/>
        <w:jc w:val="both"/>
      </w:pPr>
      <w:r>
        <w:t>Conservamos los datos personales únicamente durante el tiempo necesario para los fines descritos en esta Política. Cuando actuamos como sujeto obligado conforme a la normativa de PLA/FT aplicable, determinados registros —incluidos los de cumplimiento y monitoreo de transacciones— se conservan durante el plazo legalmente exigido, que es de un mínimo de cinco (5) años. Las comunicaciones de soporte y los registros técnicos se conservan por períodos más breves, acordes con su finalidad.</w:t>
      </w:r>
    </w:p>
    <w:p w14:paraId="0732AFFA" w14:textId="77777777" w:rsidR="00484928" w:rsidRDefault="00000000">
      <w:pPr>
        <w:pStyle w:val="Heading1"/>
        <w:keepNext/>
        <w:spacing w:before="220" w:after="80"/>
      </w:pPr>
      <w:r>
        <w:rPr>
          <w:b/>
          <w:bCs/>
          <w:color w:val="E93223"/>
          <w:sz w:val="24"/>
          <w:szCs w:val="24"/>
        </w:rPr>
        <w:t>10.  Seguridad</w:t>
      </w:r>
    </w:p>
    <w:p w14:paraId="3E95C371" w14:textId="77777777" w:rsidR="00484928" w:rsidRDefault="00000000">
      <w:pPr>
        <w:spacing w:after="100" w:line="264" w:lineRule="auto"/>
        <w:jc w:val="both"/>
      </w:pPr>
      <w:r>
        <w:t>Aplicamos medidas técnicas y organizativas adecuadas para proteger los datos personales, incluidas el cifrado en tránsito, los controles de acceso y el monitoreo. Ningún sistema es completamente seguro. Usted es responsable de proteger su dispositivo, sus credenciales de acceso y su Frase de Recuperación, que nunca poseemos y no podemos recuperar.</w:t>
      </w:r>
    </w:p>
    <w:p w14:paraId="127793AE" w14:textId="77777777" w:rsidR="00484928" w:rsidRDefault="00000000">
      <w:pPr>
        <w:pStyle w:val="Heading1"/>
        <w:keepNext/>
        <w:spacing w:before="220" w:after="80"/>
      </w:pPr>
      <w:r>
        <w:rPr>
          <w:b/>
          <w:bCs/>
          <w:color w:val="E93223"/>
          <w:sz w:val="24"/>
          <w:szCs w:val="24"/>
        </w:rPr>
        <w:t>11.  Sus derechos y cómo ejercerlos</w:t>
      </w:r>
    </w:p>
    <w:p w14:paraId="10693495" w14:textId="77777777" w:rsidR="00484928" w:rsidRDefault="00000000">
      <w:pPr>
        <w:spacing w:after="100" w:line="264" w:lineRule="auto"/>
        <w:jc w:val="both"/>
      </w:pPr>
      <w:r>
        <w:t>Según la ley que lo protege, usted puede tener derecho a acceder a sus datos personales; a rectificar los datos inexactos; a solicitar su supresión o eliminación; a oponerse a determinados tratamientos o a limitarlos; a la portabilidad de los datos; a retirar el consentimiento; y a no ser objeto de determinadas decisiones automatizadas. Para ejercer cualquier derecho, escriba a soporte@sixthsensepay.com. Es posible que debamos verificar su identidad antes de responder. También puede presentar un reclamo ante la autoridad de protección de datos que le corresponda:</w:t>
      </w:r>
    </w:p>
    <w:tbl>
      <w:tblPr>
        <w:tblW w:w="9360" w:type="dxa"/>
        <w:tblBorders>
          <w:top w:val="single" w:sz="2" w:space="0" w:color="D9D9D9"/>
          <w:left w:val="single" w:sz="2" w:space="0" w:color="D9D9D9"/>
          <w:bottom w:val="single" w:sz="2" w:space="0" w:color="D9D9D9"/>
          <w:right w:val="single" w:sz="2" w:space="0" w:color="D9D9D9"/>
          <w:insideH w:val="single" w:sz="2" w:space="0" w:color="E6E6E6"/>
          <w:insideV w:val="single" w:sz="2" w:space="0" w:color="E6E6E6"/>
        </w:tblBorders>
        <w:tblCellMar>
          <w:left w:w="10" w:type="dxa"/>
          <w:right w:w="10" w:type="dxa"/>
        </w:tblCellMar>
        <w:tblLook w:val="0000" w:firstRow="0" w:lastRow="0" w:firstColumn="0" w:lastColumn="0" w:noHBand="0" w:noVBand="0"/>
      </w:tblPr>
      <w:tblGrid>
        <w:gridCol w:w="2995"/>
        <w:gridCol w:w="6365"/>
      </w:tblGrid>
      <w:tr w:rsidR="00484928" w14:paraId="6B6972B1" w14:textId="77777777">
        <w:tblPrEx>
          <w:tblCellMar>
            <w:top w:w="0" w:type="dxa"/>
            <w:bottom w:w="0" w:type="dxa"/>
          </w:tblCellMar>
        </w:tblPrEx>
        <w:trPr>
          <w:tblHeader/>
        </w:trPr>
        <w:tc>
          <w:tcPr>
            <w:tcW w:w="2995" w:type="dxa"/>
            <w:shd w:val="clear" w:color="auto" w:fill="FBE7E4"/>
            <w:tcMar>
              <w:top w:w="60" w:type="dxa"/>
              <w:left w:w="110" w:type="dxa"/>
              <w:bottom w:w="60" w:type="dxa"/>
              <w:right w:w="110" w:type="dxa"/>
            </w:tcMar>
          </w:tcPr>
          <w:p w14:paraId="2F12FEB6" w14:textId="77777777" w:rsidR="00484928" w:rsidRDefault="00000000">
            <w:r>
              <w:rPr>
                <w:b/>
                <w:bCs/>
                <w:color w:val="E93223"/>
                <w:sz w:val="18"/>
                <w:szCs w:val="18"/>
              </w:rPr>
              <w:t>País</w:t>
            </w:r>
          </w:p>
        </w:tc>
        <w:tc>
          <w:tcPr>
            <w:tcW w:w="6365" w:type="dxa"/>
            <w:shd w:val="clear" w:color="auto" w:fill="FBE7E4"/>
            <w:tcMar>
              <w:top w:w="60" w:type="dxa"/>
              <w:left w:w="110" w:type="dxa"/>
              <w:bottom w:w="60" w:type="dxa"/>
              <w:right w:w="110" w:type="dxa"/>
            </w:tcMar>
          </w:tcPr>
          <w:p w14:paraId="06C26A02" w14:textId="77777777" w:rsidR="00484928" w:rsidRDefault="00000000">
            <w:r>
              <w:rPr>
                <w:b/>
                <w:bCs/>
                <w:color w:val="E93223"/>
                <w:sz w:val="18"/>
                <w:szCs w:val="18"/>
              </w:rPr>
              <w:t>Autoridad y norma principal</w:t>
            </w:r>
          </w:p>
        </w:tc>
      </w:tr>
      <w:tr w:rsidR="00484928" w14:paraId="731F6C83" w14:textId="77777777">
        <w:tblPrEx>
          <w:tblCellMar>
            <w:top w:w="0" w:type="dxa"/>
            <w:bottom w:w="0" w:type="dxa"/>
          </w:tblCellMar>
        </w:tblPrEx>
        <w:tc>
          <w:tcPr>
            <w:tcW w:w="2995" w:type="dxa"/>
            <w:tcMar>
              <w:top w:w="60" w:type="dxa"/>
              <w:left w:w="110" w:type="dxa"/>
              <w:bottom w:w="60" w:type="dxa"/>
              <w:right w:w="110" w:type="dxa"/>
            </w:tcMar>
          </w:tcPr>
          <w:p w14:paraId="4761D155" w14:textId="77777777" w:rsidR="00484928" w:rsidRDefault="00000000">
            <w:pPr>
              <w:spacing w:line="250" w:lineRule="auto"/>
            </w:pPr>
            <w:r>
              <w:rPr>
                <w:b/>
                <w:bCs/>
                <w:sz w:val="18"/>
                <w:szCs w:val="18"/>
              </w:rPr>
              <w:t>Argentina</w:t>
            </w:r>
          </w:p>
        </w:tc>
        <w:tc>
          <w:tcPr>
            <w:tcW w:w="6365" w:type="dxa"/>
            <w:tcMar>
              <w:top w:w="60" w:type="dxa"/>
              <w:left w:w="110" w:type="dxa"/>
              <w:bottom w:w="60" w:type="dxa"/>
              <w:right w:w="110" w:type="dxa"/>
            </w:tcMar>
          </w:tcPr>
          <w:p w14:paraId="0EA88C6A" w14:textId="77777777" w:rsidR="00484928" w:rsidRDefault="00000000">
            <w:pPr>
              <w:spacing w:line="250" w:lineRule="auto"/>
            </w:pPr>
            <w:r>
              <w:rPr>
                <w:sz w:val="18"/>
                <w:szCs w:val="18"/>
              </w:rPr>
              <w:t>Agencia de Acceso a la Información Pública (AAIP) — Ley 25.326 de Protección de los Datos Personales (habeas data / derechos ARCO).</w:t>
            </w:r>
          </w:p>
        </w:tc>
      </w:tr>
      <w:tr w:rsidR="00484928" w14:paraId="78CB5696" w14:textId="77777777">
        <w:tblPrEx>
          <w:tblCellMar>
            <w:top w:w="0" w:type="dxa"/>
            <w:bottom w:w="0" w:type="dxa"/>
          </w:tblCellMar>
        </w:tblPrEx>
        <w:tc>
          <w:tcPr>
            <w:tcW w:w="2995" w:type="dxa"/>
            <w:tcMar>
              <w:top w:w="60" w:type="dxa"/>
              <w:left w:w="110" w:type="dxa"/>
              <w:bottom w:w="60" w:type="dxa"/>
              <w:right w:w="110" w:type="dxa"/>
            </w:tcMar>
          </w:tcPr>
          <w:p w14:paraId="1792CBAA" w14:textId="77777777" w:rsidR="00484928" w:rsidRDefault="00000000">
            <w:pPr>
              <w:spacing w:line="250" w:lineRule="auto"/>
            </w:pPr>
            <w:r>
              <w:rPr>
                <w:b/>
                <w:bCs/>
                <w:sz w:val="18"/>
                <w:szCs w:val="18"/>
              </w:rPr>
              <w:t>Paraguay</w:t>
            </w:r>
          </w:p>
        </w:tc>
        <w:tc>
          <w:tcPr>
            <w:tcW w:w="6365" w:type="dxa"/>
            <w:tcMar>
              <w:top w:w="60" w:type="dxa"/>
              <w:left w:w="110" w:type="dxa"/>
              <w:bottom w:w="60" w:type="dxa"/>
              <w:right w:w="110" w:type="dxa"/>
            </w:tcMar>
          </w:tcPr>
          <w:p w14:paraId="759BE5C9" w14:textId="77777777" w:rsidR="00484928" w:rsidRDefault="00000000">
            <w:pPr>
              <w:spacing w:line="250" w:lineRule="auto"/>
            </w:pPr>
            <w:r>
              <w:rPr>
                <w:sz w:val="18"/>
                <w:szCs w:val="18"/>
              </w:rPr>
              <w:t>Ley 7.593/2025 de Protección de Datos Personales (marco general; autoridad de aplicación y obligaciones plenas con entrada en vigencia gradual hasta noviembre de 2027) y Ley 6534/2020 de datos crediticios.</w:t>
            </w:r>
          </w:p>
        </w:tc>
      </w:tr>
      <w:tr w:rsidR="00484928" w14:paraId="6C26D5D1" w14:textId="77777777">
        <w:tblPrEx>
          <w:tblCellMar>
            <w:top w:w="0" w:type="dxa"/>
            <w:bottom w:w="0" w:type="dxa"/>
          </w:tblCellMar>
        </w:tblPrEx>
        <w:tc>
          <w:tcPr>
            <w:tcW w:w="2995" w:type="dxa"/>
            <w:tcMar>
              <w:top w:w="60" w:type="dxa"/>
              <w:left w:w="110" w:type="dxa"/>
              <w:bottom w:w="60" w:type="dxa"/>
              <w:right w:w="110" w:type="dxa"/>
            </w:tcMar>
          </w:tcPr>
          <w:p w14:paraId="2BC5C163" w14:textId="77777777" w:rsidR="00484928" w:rsidRDefault="00000000">
            <w:pPr>
              <w:spacing w:line="250" w:lineRule="auto"/>
            </w:pPr>
            <w:r>
              <w:rPr>
                <w:b/>
                <w:bCs/>
                <w:sz w:val="18"/>
                <w:szCs w:val="18"/>
              </w:rPr>
              <w:t>Uruguay</w:t>
            </w:r>
          </w:p>
        </w:tc>
        <w:tc>
          <w:tcPr>
            <w:tcW w:w="6365" w:type="dxa"/>
            <w:tcMar>
              <w:top w:w="60" w:type="dxa"/>
              <w:left w:w="110" w:type="dxa"/>
              <w:bottom w:w="60" w:type="dxa"/>
              <w:right w:w="110" w:type="dxa"/>
            </w:tcMar>
          </w:tcPr>
          <w:p w14:paraId="5C98C768" w14:textId="77777777" w:rsidR="00484928" w:rsidRDefault="00000000">
            <w:pPr>
              <w:spacing w:line="250" w:lineRule="auto"/>
            </w:pPr>
            <w:r>
              <w:rPr>
                <w:sz w:val="18"/>
                <w:szCs w:val="18"/>
              </w:rPr>
              <w:t>Unidad Reguladora y de Control de Datos Personales (URCDP) — Ley 18.331.</w:t>
            </w:r>
          </w:p>
        </w:tc>
      </w:tr>
      <w:tr w:rsidR="00484928" w14:paraId="2700B22F" w14:textId="77777777">
        <w:tblPrEx>
          <w:tblCellMar>
            <w:top w:w="0" w:type="dxa"/>
            <w:bottom w:w="0" w:type="dxa"/>
          </w:tblCellMar>
        </w:tblPrEx>
        <w:tc>
          <w:tcPr>
            <w:tcW w:w="2995" w:type="dxa"/>
            <w:tcMar>
              <w:top w:w="60" w:type="dxa"/>
              <w:left w:w="110" w:type="dxa"/>
              <w:bottom w:w="60" w:type="dxa"/>
              <w:right w:w="110" w:type="dxa"/>
            </w:tcMar>
          </w:tcPr>
          <w:p w14:paraId="28E5A87D" w14:textId="77777777" w:rsidR="00484928" w:rsidRDefault="00000000">
            <w:pPr>
              <w:spacing w:line="250" w:lineRule="auto"/>
            </w:pPr>
            <w:r>
              <w:rPr>
                <w:b/>
                <w:bCs/>
                <w:sz w:val="18"/>
                <w:szCs w:val="18"/>
              </w:rPr>
              <w:t>Brasil</w:t>
            </w:r>
          </w:p>
        </w:tc>
        <w:tc>
          <w:tcPr>
            <w:tcW w:w="6365" w:type="dxa"/>
            <w:tcMar>
              <w:top w:w="60" w:type="dxa"/>
              <w:left w:w="110" w:type="dxa"/>
              <w:bottom w:w="60" w:type="dxa"/>
              <w:right w:w="110" w:type="dxa"/>
            </w:tcMar>
          </w:tcPr>
          <w:p w14:paraId="0D7D9D1A" w14:textId="77777777" w:rsidR="00484928" w:rsidRDefault="00000000">
            <w:pPr>
              <w:spacing w:line="250" w:lineRule="auto"/>
            </w:pPr>
            <w:r>
              <w:rPr>
                <w:sz w:val="18"/>
                <w:szCs w:val="18"/>
              </w:rPr>
              <w:t>Autoridade Nacional de Proteção de Dados (ANPD) — Lei Geral de Proteção de Dados (LGPD, Ley 13.709/2018).</w:t>
            </w:r>
          </w:p>
        </w:tc>
      </w:tr>
      <w:tr w:rsidR="00484928" w14:paraId="68E4C135" w14:textId="77777777">
        <w:tblPrEx>
          <w:tblCellMar>
            <w:top w:w="0" w:type="dxa"/>
            <w:bottom w:w="0" w:type="dxa"/>
          </w:tblCellMar>
        </w:tblPrEx>
        <w:tc>
          <w:tcPr>
            <w:tcW w:w="2995" w:type="dxa"/>
            <w:tcMar>
              <w:top w:w="60" w:type="dxa"/>
              <w:left w:w="110" w:type="dxa"/>
              <w:bottom w:w="60" w:type="dxa"/>
              <w:right w:w="110" w:type="dxa"/>
            </w:tcMar>
          </w:tcPr>
          <w:p w14:paraId="60C07057" w14:textId="77777777" w:rsidR="00484928" w:rsidRDefault="00000000">
            <w:pPr>
              <w:spacing w:line="250" w:lineRule="auto"/>
            </w:pPr>
            <w:r>
              <w:rPr>
                <w:b/>
                <w:bCs/>
                <w:sz w:val="18"/>
                <w:szCs w:val="18"/>
              </w:rPr>
              <w:t>Bosnia y Herzegovina</w:t>
            </w:r>
          </w:p>
        </w:tc>
        <w:tc>
          <w:tcPr>
            <w:tcW w:w="6365" w:type="dxa"/>
            <w:tcMar>
              <w:top w:w="60" w:type="dxa"/>
              <w:left w:w="110" w:type="dxa"/>
              <w:bottom w:w="60" w:type="dxa"/>
              <w:right w:w="110" w:type="dxa"/>
            </w:tcMar>
          </w:tcPr>
          <w:p w14:paraId="51A2AD72" w14:textId="77777777" w:rsidR="00484928" w:rsidRDefault="00000000">
            <w:pPr>
              <w:spacing w:line="250" w:lineRule="auto"/>
            </w:pPr>
            <w:r>
              <w:rPr>
                <w:sz w:val="18"/>
                <w:szCs w:val="18"/>
              </w:rPr>
              <w:t>Agencia de Protección de Datos Personales de Bosnia y Herzegovina.</w:t>
            </w:r>
          </w:p>
        </w:tc>
      </w:tr>
    </w:tbl>
    <w:p w14:paraId="2AD50372" w14:textId="77777777" w:rsidR="00484928" w:rsidRDefault="00484928">
      <w:pPr>
        <w:spacing w:after="60"/>
      </w:pPr>
    </w:p>
    <w:p w14:paraId="48F1E330" w14:textId="77777777" w:rsidR="00484928" w:rsidRDefault="00000000">
      <w:pPr>
        <w:pStyle w:val="Heading1"/>
        <w:keepNext/>
        <w:spacing w:before="220" w:after="80"/>
      </w:pPr>
      <w:r>
        <w:rPr>
          <w:b/>
          <w:bCs/>
          <w:color w:val="E93223"/>
          <w:sz w:val="24"/>
          <w:szCs w:val="24"/>
        </w:rPr>
        <w:t>12.  Menores de edad</w:t>
      </w:r>
    </w:p>
    <w:p w14:paraId="02A579D0" w14:textId="77777777" w:rsidR="00484928" w:rsidRDefault="00000000">
      <w:pPr>
        <w:spacing w:after="100" w:line="264" w:lineRule="auto"/>
        <w:jc w:val="both"/>
      </w:pPr>
      <w:r>
        <w:t>La App no está dirigida ni destinada a personas menores de 18 años. No recopilamos a sabiendas datos personales de menores. Si considera que un menor nos ha proporcionado datos personales, contáctenos para que podamos eliminarlos.</w:t>
      </w:r>
    </w:p>
    <w:p w14:paraId="213EDE15" w14:textId="77777777" w:rsidR="00484928" w:rsidRDefault="00000000">
      <w:pPr>
        <w:pStyle w:val="Heading1"/>
        <w:keepNext/>
        <w:spacing w:before="220" w:after="80"/>
      </w:pPr>
      <w:r>
        <w:rPr>
          <w:b/>
          <w:bCs/>
          <w:color w:val="E93223"/>
          <w:sz w:val="24"/>
          <w:szCs w:val="24"/>
        </w:rPr>
        <w:t>13.  Cookies y analíticas</w:t>
      </w:r>
    </w:p>
    <w:p w14:paraId="03DA83FB" w14:textId="77777777" w:rsidR="00484928" w:rsidRDefault="00000000">
      <w:pPr>
        <w:spacing w:after="100" w:line="264" w:lineRule="auto"/>
        <w:jc w:val="both"/>
      </w:pPr>
      <w:r>
        <w:t>Nuestro sitio web puede utilizar cookies y tecnologías similares con fines de funcionalidad, seguridad y analítica. Usted puede gestionar o rechazar las cookies no esenciales a través de la herramienta de consentimiento de nuestro sitio web o de la configuración de su navegador. La App puede utilizar herramientas de analítica y diagnóstico para comprender el uso y mejorar la estabilidad; cuando sea necesario, obtenemos su consentimiento.</w:t>
      </w:r>
    </w:p>
    <w:p w14:paraId="7105EF13" w14:textId="77777777" w:rsidR="00484928" w:rsidRDefault="00000000">
      <w:pPr>
        <w:pStyle w:val="Heading1"/>
        <w:keepNext/>
        <w:spacing w:before="220" w:after="80"/>
      </w:pPr>
      <w:r>
        <w:rPr>
          <w:b/>
          <w:bCs/>
          <w:color w:val="E93223"/>
          <w:sz w:val="24"/>
          <w:szCs w:val="24"/>
        </w:rPr>
        <w:t>14.  Cambios en esta Política</w:t>
      </w:r>
    </w:p>
    <w:p w14:paraId="0BB1A344" w14:textId="77777777" w:rsidR="00484928" w:rsidRDefault="00000000">
      <w:pPr>
        <w:spacing w:after="100" w:line="264" w:lineRule="auto"/>
        <w:jc w:val="both"/>
      </w:pPr>
      <w:r>
        <w:t>Podemos actualizar esta Política de Privacidad periódicamente. Publicaremos la versión actualizada con una nueva fecha de vigencia y, cuando se realicen cambios sustanciales, se lo notificaremos según lo exija la ley.</w:t>
      </w:r>
    </w:p>
    <w:p w14:paraId="38D128D1" w14:textId="77777777" w:rsidR="00484928" w:rsidRDefault="00000000">
      <w:pPr>
        <w:pStyle w:val="Heading1"/>
        <w:keepNext/>
        <w:spacing w:before="220" w:after="80"/>
      </w:pPr>
      <w:r>
        <w:rPr>
          <w:b/>
          <w:bCs/>
          <w:color w:val="E93223"/>
          <w:sz w:val="24"/>
          <w:szCs w:val="24"/>
        </w:rPr>
        <w:t>15.  Contacto</w:t>
      </w:r>
    </w:p>
    <w:p w14:paraId="4B17ADD8" w14:textId="77777777" w:rsidR="00484928" w:rsidRDefault="00000000">
      <w:pPr>
        <w:spacing w:after="100" w:line="264" w:lineRule="auto"/>
        <w:jc w:val="both"/>
      </w:pPr>
      <w:r>
        <w:t>Responsable del tratamiento: "Sixth Sense Group" d.o.o. Bijeljina, Meše Selimovića 4, Bijeljina, Bosnia y Herzegovina. Para cualquier consulta, solicitud o reclamo sobre privacidad, escriba a soporte@sixthsensepay.com.</w:t>
      </w:r>
    </w:p>
    <w:sectPr w:rsidR="00484928">
      <w:footerReference w:type="default" r:id="rId7"/>
      <w:pgSz w:w="11906" w:h="16838"/>
      <w:pgMar w:top="1120" w:right="1220" w:bottom="112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615B7" w14:textId="77777777" w:rsidR="00831F05" w:rsidRDefault="00831F05">
      <w:r>
        <w:separator/>
      </w:r>
    </w:p>
  </w:endnote>
  <w:endnote w:type="continuationSeparator" w:id="0">
    <w:p w14:paraId="502F585D" w14:textId="77777777" w:rsidR="00831F05" w:rsidRDefault="0083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chiv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869ABD" w14:textId="77777777" w:rsidR="00484928" w:rsidRDefault="00000000">
    <w:pPr>
      <w:pBdr>
        <w:top w:val="single" w:sz="8" w:space="6" w:color="E93223"/>
      </w:pBdr>
      <w:tabs>
        <w:tab w:val="right" w:pos="9360"/>
      </w:tabs>
    </w:pPr>
    <w:r>
      <w:rPr>
        <w:color w:val="6B6B6B"/>
        <w:sz w:val="13"/>
        <w:szCs w:val="13"/>
      </w:rPr>
      <w:t>Sixth Sense Pay · Política de Privacidad</w:t>
    </w:r>
    <w:r>
      <w:tab/>
    </w:r>
    <w:r>
      <w:rPr>
        <w:color w:val="6B6B6B"/>
        <w:sz w:val="13"/>
        <w:szCs w:val="13"/>
      </w:rPr>
      <w:t xml:space="preserve">Page </w:t>
    </w:r>
    <w:r>
      <w:rPr>
        <w:color w:val="6B6B6B"/>
        <w:sz w:val="13"/>
        <w:szCs w:val="13"/>
      </w:rPr>
      <w:fldChar w:fldCharType="begin"/>
    </w:r>
    <w:r>
      <w:rPr>
        <w:color w:val="6B6B6B"/>
        <w:sz w:val="13"/>
        <w:szCs w:val="13"/>
      </w:rPr>
      <w:instrText>PAGE</w:instrText>
    </w:r>
    <w:r>
      <w:rPr>
        <w:color w:val="6B6B6B"/>
        <w:sz w:val="13"/>
        <w:szCs w:val="13"/>
      </w:rPr>
      <w:fldChar w:fldCharType="separate"/>
    </w:r>
    <w:r w:rsidR="00A2487E">
      <w:rPr>
        <w:noProof/>
        <w:color w:val="6B6B6B"/>
        <w:sz w:val="13"/>
        <w:szCs w:val="13"/>
      </w:rPr>
      <w:t>1</w:t>
    </w:r>
    <w:r>
      <w:rPr>
        <w:color w:val="6B6B6B"/>
        <w:sz w:val="13"/>
        <w:szCs w:val="13"/>
      </w:rPr>
      <w:fldChar w:fldCharType="end"/>
    </w:r>
    <w:r>
      <w:rPr>
        <w:color w:val="6B6B6B"/>
        <w:sz w:val="13"/>
        <w:szCs w:val="13"/>
      </w:rPr>
      <w:t xml:space="preserve"> of </w:t>
    </w:r>
    <w:r>
      <w:rPr>
        <w:color w:val="6B6B6B"/>
        <w:sz w:val="13"/>
        <w:szCs w:val="13"/>
      </w:rPr>
      <w:fldChar w:fldCharType="begin"/>
    </w:r>
    <w:r>
      <w:rPr>
        <w:color w:val="6B6B6B"/>
        <w:sz w:val="13"/>
        <w:szCs w:val="13"/>
      </w:rPr>
      <w:instrText>NUMPAGES</w:instrText>
    </w:r>
    <w:r>
      <w:rPr>
        <w:color w:val="6B6B6B"/>
        <w:sz w:val="13"/>
        <w:szCs w:val="13"/>
      </w:rPr>
      <w:fldChar w:fldCharType="separate"/>
    </w:r>
    <w:r w:rsidR="00A2487E">
      <w:rPr>
        <w:noProof/>
        <w:color w:val="6B6B6B"/>
        <w:sz w:val="13"/>
        <w:szCs w:val="13"/>
      </w:rPr>
      <w:t>2</w:t>
    </w:r>
    <w:r>
      <w:rPr>
        <w:color w:val="6B6B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B04363" w14:textId="77777777" w:rsidR="00831F05" w:rsidRDefault="00831F05">
      <w:r>
        <w:separator/>
      </w:r>
    </w:p>
  </w:footnote>
  <w:footnote w:type="continuationSeparator" w:id="0">
    <w:p w14:paraId="429FC38D" w14:textId="77777777" w:rsidR="00831F05" w:rsidRDefault="00831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E82BA3"/>
    <w:multiLevelType w:val="hybridMultilevel"/>
    <w:tmpl w:val="934AECAE"/>
    <w:lvl w:ilvl="0" w:tplc="59E65236">
      <w:start w:val="1"/>
      <w:numFmt w:val="bullet"/>
      <w:lvlText w:val="–"/>
      <w:lvlJc w:val="left"/>
      <w:pPr>
        <w:ind w:left="340" w:hanging="200"/>
      </w:pPr>
      <w:rPr>
        <w:color w:val="E93223"/>
      </w:rPr>
    </w:lvl>
    <w:lvl w:ilvl="1" w:tplc="3BF20E6C">
      <w:numFmt w:val="decimal"/>
      <w:lvlText w:val=""/>
      <w:lvlJc w:val="left"/>
    </w:lvl>
    <w:lvl w:ilvl="2" w:tplc="9E523364">
      <w:numFmt w:val="decimal"/>
      <w:lvlText w:val=""/>
      <w:lvlJc w:val="left"/>
    </w:lvl>
    <w:lvl w:ilvl="3" w:tplc="F1FE43E8">
      <w:numFmt w:val="decimal"/>
      <w:lvlText w:val=""/>
      <w:lvlJc w:val="left"/>
    </w:lvl>
    <w:lvl w:ilvl="4" w:tplc="77C2E47C">
      <w:numFmt w:val="decimal"/>
      <w:lvlText w:val=""/>
      <w:lvlJc w:val="left"/>
    </w:lvl>
    <w:lvl w:ilvl="5" w:tplc="196CA006">
      <w:numFmt w:val="decimal"/>
      <w:lvlText w:val=""/>
      <w:lvlJc w:val="left"/>
    </w:lvl>
    <w:lvl w:ilvl="6" w:tplc="994EBA40">
      <w:numFmt w:val="decimal"/>
      <w:lvlText w:val=""/>
      <w:lvlJc w:val="left"/>
    </w:lvl>
    <w:lvl w:ilvl="7" w:tplc="A448F8BC">
      <w:numFmt w:val="decimal"/>
      <w:lvlText w:val=""/>
      <w:lvlJc w:val="left"/>
    </w:lvl>
    <w:lvl w:ilvl="8" w:tplc="0240B016">
      <w:numFmt w:val="decimal"/>
      <w:lvlText w:val=""/>
      <w:lvlJc w:val="left"/>
    </w:lvl>
  </w:abstractNum>
  <w:abstractNum w:abstractNumId="1" w15:restartNumberingAfterBreak="0">
    <w:nsid w:val="7A805BAC"/>
    <w:multiLevelType w:val="hybridMultilevel"/>
    <w:tmpl w:val="49F6CB7E"/>
    <w:lvl w:ilvl="0" w:tplc="23BC5580">
      <w:start w:val="1"/>
      <w:numFmt w:val="bullet"/>
      <w:lvlText w:val="●"/>
      <w:lvlJc w:val="left"/>
      <w:pPr>
        <w:ind w:left="720" w:hanging="360"/>
      </w:pPr>
    </w:lvl>
    <w:lvl w:ilvl="1" w:tplc="65BC5AF8">
      <w:start w:val="1"/>
      <w:numFmt w:val="bullet"/>
      <w:lvlText w:val="○"/>
      <w:lvlJc w:val="left"/>
      <w:pPr>
        <w:ind w:left="1440" w:hanging="360"/>
      </w:pPr>
    </w:lvl>
    <w:lvl w:ilvl="2" w:tplc="70DE5242">
      <w:start w:val="1"/>
      <w:numFmt w:val="bullet"/>
      <w:lvlText w:val="■"/>
      <w:lvlJc w:val="left"/>
      <w:pPr>
        <w:ind w:left="2160" w:hanging="360"/>
      </w:pPr>
    </w:lvl>
    <w:lvl w:ilvl="3" w:tplc="39724A18">
      <w:start w:val="1"/>
      <w:numFmt w:val="bullet"/>
      <w:lvlText w:val="●"/>
      <w:lvlJc w:val="left"/>
      <w:pPr>
        <w:ind w:left="2880" w:hanging="360"/>
      </w:pPr>
    </w:lvl>
    <w:lvl w:ilvl="4" w:tplc="EAE029FA">
      <w:start w:val="1"/>
      <w:numFmt w:val="bullet"/>
      <w:lvlText w:val="○"/>
      <w:lvlJc w:val="left"/>
      <w:pPr>
        <w:ind w:left="3600" w:hanging="360"/>
      </w:pPr>
    </w:lvl>
    <w:lvl w:ilvl="5" w:tplc="E410DAFE">
      <w:start w:val="1"/>
      <w:numFmt w:val="bullet"/>
      <w:lvlText w:val="■"/>
      <w:lvlJc w:val="left"/>
      <w:pPr>
        <w:ind w:left="4320" w:hanging="360"/>
      </w:pPr>
    </w:lvl>
    <w:lvl w:ilvl="6" w:tplc="DF1CEC86">
      <w:start w:val="1"/>
      <w:numFmt w:val="bullet"/>
      <w:lvlText w:val="●"/>
      <w:lvlJc w:val="left"/>
      <w:pPr>
        <w:ind w:left="5040" w:hanging="360"/>
      </w:pPr>
    </w:lvl>
    <w:lvl w:ilvl="7" w:tplc="96049C24">
      <w:start w:val="1"/>
      <w:numFmt w:val="bullet"/>
      <w:lvlText w:val="●"/>
      <w:lvlJc w:val="left"/>
      <w:pPr>
        <w:ind w:left="5760" w:hanging="360"/>
      </w:pPr>
    </w:lvl>
    <w:lvl w:ilvl="8" w:tplc="B63211D4">
      <w:start w:val="1"/>
      <w:numFmt w:val="bullet"/>
      <w:lvlText w:val="●"/>
      <w:lvlJc w:val="left"/>
      <w:pPr>
        <w:ind w:left="6480" w:hanging="360"/>
      </w:pPr>
    </w:lvl>
  </w:abstractNum>
  <w:num w:numId="1" w16cid:durableId="864832946">
    <w:abstractNumId w:val="1"/>
    <w:lvlOverride w:ilvl="0">
      <w:startOverride w:val="1"/>
    </w:lvlOverride>
  </w:num>
  <w:num w:numId="2" w16cid:durableId="10148429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928"/>
    <w:rsid w:val="00484928"/>
    <w:rsid w:val="004F03F1"/>
    <w:rsid w:val="00831F05"/>
    <w:rsid w:val="00A24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C7D5E9"/>
  <w15:docId w15:val="{D214DF9A-03C8-844C-87F0-CBA4C342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chivo" w:eastAsia="Archivo" w:hAnsi="Archivo" w:cs="Archivo"/>
        <w:color w:val="0F0F0F"/>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1626</Words>
  <Characters>9274</Characters>
  <Application>Microsoft Office Word</Application>
  <DocSecurity>0</DocSecurity>
  <Lines>77</Lines>
  <Paragraphs>21</Paragraphs>
  <ScaleCrop>false</ScaleCrop>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Rivas</cp:lastModifiedBy>
  <cp:revision>2</cp:revision>
  <dcterms:created xsi:type="dcterms:W3CDTF">2026-08-07T14:21:00Z</dcterms:created>
  <dcterms:modified xsi:type="dcterms:W3CDTF">2026-08-07T14:21:00Z</dcterms:modified>
</cp:coreProperties>
</file>