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4B6" w:rsidRPr="008044B6" w:rsidRDefault="008044B6" w:rsidP="008044B6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Maximise</w:t>
      </w:r>
      <w:proofErr w:type="spellEnd"/>
      <w:r w:rsidRPr="008044B6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GCD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044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602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8044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37%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8044B6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8044B6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8044B6" w:rsidRPr="008044B6" w:rsidRDefault="008044B6" w:rsidP="008044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8044B6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8044B6" w:rsidRPr="008044B6" w:rsidRDefault="008044B6" w:rsidP="008044B6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8044B6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4 Votes</w:t>
      </w:r>
    </w:p>
    <w:p w:rsidR="008044B6" w:rsidRPr="008044B6" w:rsidRDefault="008044B6" w:rsidP="008044B6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8044B6" w:rsidRPr="008044B6" w:rsidRDefault="008044B6" w:rsidP="008044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8044B6" w:rsidRPr="008044B6" w:rsidRDefault="008044B6" w:rsidP="008044B6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Math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Number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Theory</w:t>
      </w:r>
      <w:proofErr w:type="spellEnd"/>
    </w:p>
    <w:p w:rsidR="008044B6" w:rsidRPr="008044B6" w:rsidRDefault="008044B6" w:rsidP="008044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8044B6" w:rsidRPr="008044B6" w:rsidRDefault="008044B6" w:rsidP="008044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8044B6" w:rsidRPr="008044B6" w:rsidRDefault="008044B6" w:rsidP="008044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8044B6" w:rsidRPr="008044B6" w:rsidRDefault="008044B6" w:rsidP="008044B6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denote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proofErr w:type="spellEnd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GCD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(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≥1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P≥1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as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only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P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of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so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proofErr w:type="spellEnd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(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)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maximised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need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removed.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several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single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should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removed so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proofErr w:type="spellEnd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maximised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several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possible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length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8044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2≤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044B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3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2≤N≤103</w:t>
      </w:r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8044B6">
        <w:rPr>
          <w:rFonts w:ascii="MJXc-TeX-math-Iw" w:eastAsia="Times New Roman" w:hAnsi="MJXc-TeX-math-Iw" w:cs="Arial"/>
          <w:color w:val="252C33"/>
          <w:sz w:val="18"/>
          <w:szCs w:val="18"/>
          <w:bdr w:val="none" w:sz="0" w:space="0" w:color="auto" w:frame="1"/>
          <w:lang w:eastAsia="es-AR"/>
        </w:rPr>
        <w:t>i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8044B6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1≤Ai≤106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044B6" w:rsidRPr="008044B6" w:rsidRDefault="008044B6" w:rsidP="0080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044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5</w:t>
      </w:r>
    </w:p>
    <w:p w:rsidR="008044B6" w:rsidRPr="008044B6" w:rsidRDefault="008044B6" w:rsidP="0080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044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4 8 6 9 3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8044B6" w:rsidRPr="008044B6" w:rsidRDefault="008044B6" w:rsidP="00804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8044B6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8044B6" w:rsidRPr="008044B6" w:rsidRDefault="008044B6" w:rsidP="008044B6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remove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size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prefix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G</w:t>
      </w:r>
      <w:proofErr w:type="spellEnd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Value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of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remaining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[6, 9, 3] </w:t>
      </w:r>
      <w:proofErr w:type="spellStart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becomes</w:t>
      </w:r>
      <w:proofErr w:type="spellEnd"/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8044B6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044B6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8044B6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8044B6" w:rsidRPr="008044B6" w:rsidRDefault="008044B6" w:rsidP="008044B6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8044B6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8044B6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DA58DD" w:rsidRDefault="00DA58DD"/>
    <w:p w:rsidR="008044B6" w:rsidRDefault="008044B6">
      <w:hyperlink r:id="rId5" w:history="1">
        <w:r w:rsidRPr="009E38B3">
          <w:rPr>
            <w:rStyle w:val="Hipervnculo"/>
          </w:rPr>
          <w:t>https://www.hackerearth.com/problem/algorithm/maximise-gcd-4126af7b/</w:t>
        </w:r>
      </w:hyperlink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0)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gcd(b % a, a);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//long[] arr = { 4, 8, 6, 9, 3 };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GCD = 0;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max_gcd = 0;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min_ind = arr.Length - 1;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arr.Length - 1; i &gt;= 0; i--)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GCD = gcd(GCD, arr[i]);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(GCD &gt;= max_gcd)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max_gcd = GCD;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min_ind = i;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.WriteLine(min_ind 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44B6" w:rsidRDefault="008044B6" w:rsidP="00804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44B6" w:rsidRDefault="008044B6"/>
    <w:p w:rsidR="008044B6" w:rsidRDefault="008044B6">
      <w:bookmarkStart w:id="0" w:name="_GoBack"/>
      <w:bookmarkEnd w:id="0"/>
    </w:p>
    <w:sectPr w:rsidR="00804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B6"/>
    <w:rsid w:val="008044B6"/>
    <w:rsid w:val="00DA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4659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730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384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1403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513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9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7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4420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59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186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121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0792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478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49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3244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25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9037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6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6693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69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703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91686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608240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8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526181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9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67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801994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796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945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25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17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3949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8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oblem/algorithm/maximise-gcd-4126af7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2017-09-01T23:42:00Z</dcterms:created>
  <dcterms:modified xsi:type="dcterms:W3CDTF">2017-09-01T23:43:00Z</dcterms:modified>
</cp:coreProperties>
</file>