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eastAsia="Arial"/>
          <w:color w:val="000000"/>
          <w:u w:val="none"/>
        </w:rPr>
        <w:t>Justificación de decisiones de diseño</w:t>
      </w:r>
    </w:p>
    <w:p>
      <w:pPr>
        <w:spacing w:after="280"/>
      </w:pPr>
      <w:r>
        <w:rPr>
          <w:rFonts w:ascii="Arial" w:hAnsi="Arial" w:eastAsia="Arial"/>
          <w:color w:val="000000"/>
          <w:sz w:val="20"/>
          <w:u w:val="none"/>
        </w:rPr>
        <w:t>Trabajo práctico de ajedrez · Ingeniería de Software · 2026</w:t>
      </w:r>
    </w:p>
    <w:p>
      <w:r>
        <w:rPr>
          <w:rFonts w:ascii="Arial" w:hAnsi="Arial" w:eastAsia="Arial"/>
          <w:color w:val="000000"/>
          <w:u w:val="none"/>
        </w:rPr>
        <w:t>Esta nota explica las decisiones principales del diseño implementado. Para cada una indica qué se eligió, por qué resulta útil en este proyecto y en qué situación podría dejar de ser una buena opción. La consigna no obliga a aplicar patrones determinados; la justificación parte de los requisitos del TPO y de las decisiones que efectivamente aparecen en el código.</w:t>
      </w:r>
    </w:p>
    <w:p>
      <w:pPr>
        <w:pStyle w:val="Heading1"/>
      </w:pPr>
      <w:r>
        <w:rPr>
          <w:rFonts w:ascii="Arial" w:hAnsi="Arial" w:eastAsia="Arial"/>
          <w:color w:val="000000"/>
          <w:u w:val="none"/>
        </w:rPr>
        <w:t>1. Núcleo de reglas separado de la consola</w:t>
      </w:r>
    </w:p>
    <w:p>
      <w:r>
        <w:rPr>
          <w:rFonts w:ascii="Arial" w:hAnsi="Arial" w:eastAsia="Arial"/>
          <w:b/>
          <w:color w:val="000000"/>
          <w:u w:val="none"/>
        </w:rPr>
        <w:t xml:space="preserve">Qué elegimos. </w:t>
      </w:r>
      <w:r>
        <w:rPr>
          <w:rFonts w:ascii="Arial" w:hAnsi="Arial" w:eastAsia="Arial"/>
          <w:color w:val="000000"/>
          <w:u w:val="none"/>
        </w:rPr>
        <w:t>Las reglas del juego viven en ajedrez/nucleo. La lectura de comandos y la impresión del tablero viven en ajedrez/adaptadores/consola.py. La partida no depende de la consola.</w:t>
      </w:r>
    </w:p>
    <w:p>
      <w:r>
        <w:rPr>
          <w:rFonts w:ascii="Arial" w:hAnsi="Arial" w:eastAsia="Arial"/>
          <w:b/>
          <w:color w:val="000000"/>
          <w:u w:val="none"/>
        </w:rPr>
        <w:t xml:space="preserve">Por qué. </w:t>
      </w:r>
      <w:r>
        <w:rPr>
          <w:rFonts w:ascii="Arial" w:hAnsi="Arial" w:eastAsia="Arial"/>
          <w:color w:val="000000"/>
          <w:u w:val="none"/>
        </w:rPr>
        <w:t>El núcleo se puede probar llamando directamente a sus operaciones, sin teclado, ventanas ni servicios externos. La misma lógica puede usarse desde otra interfaz sin reescribir las reglas. Esto responde al requisito de mantener el dominio independiente de la infraestructura.</w:t>
      </w:r>
    </w:p>
    <w:p>
      <w:r>
        <w:rPr>
          <w:rFonts w:ascii="Arial" w:hAnsi="Arial" w:eastAsia="Arial"/>
          <w:b/>
          <w:color w:val="000000"/>
          <w:u w:val="none"/>
        </w:rPr>
        <w:t xml:space="preserve">Cuándo dejaría de ser adecuada. </w:t>
      </w:r>
      <w:r>
        <w:rPr>
          <w:rFonts w:ascii="Arial" w:hAnsi="Arial" w:eastAsia="Arial"/>
          <w:color w:val="000000"/>
          <w:u w:val="none"/>
        </w:rPr>
        <w:t>Si el programa fuera una demostración descartable, con una sola interacción y sin necesidad de pruebas o reutilización, esa separación podría agregar archivos y conceptos sin aportar suficiente valor. Para este TPO sí facilita probar las reglas exigidas.</w:t>
      </w:r>
    </w:p>
    <w:p>
      <w:pPr>
        <w:pStyle w:val="Heading1"/>
      </w:pPr>
      <w:r>
        <w:rPr>
          <w:rFonts w:ascii="Arial" w:hAnsi="Arial" w:eastAsia="Arial"/>
          <w:color w:val="000000"/>
          <w:u w:val="none"/>
        </w:rPr>
        <w:t>2. Composición de comportamientos de movimiento</w:t>
      </w:r>
    </w:p>
    <w:p>
      <w:r>
        <w:rPr>
          <w:rFonts w:ascii="Arial" w:hAnsi="Arial" w:eastAsia="Arial"/>
          <w:b/>
          <w:color w:val="000000"/>
          <w:u w:val="none"/>
        </w:rPr>
        <w:t xml:space="preserve">Qué elegimos. </w:t>
      </w:r>
      <w:r>
        <w:rPr>
          <w:rFonts w:ascii="Arial" w:hAnsi="Arial" w:eastAsia="Arial"/>
          <w:color w:val="000000"/>
          <w:u w:val="none"/>
        </w:rPr>
        <w:t>Cada pieza combina comportamientos de movimiento reutilizables, como desplazamiento lineal o salto. Las reglas no se modelan mediante una subclase distinta por cada tipo de pieza.</w:t>
      </w:r>
    </w:p>
    <w:p>
      <w:r>
        <w:rPr>
          <w:rFonts w:ascii="Arial" w:hAnsi="Arial" w:eastAsia="Arial"/>
          <w:b/>
          <w:color w:val="000000"/>
          <w:u w:val="none"/>
        </w:rPr>
        <w:t xml:space="preserve">Por qué. </w:t>
      </w:r>
      <w:r>
        <w:rPr>
          <w:rFonts w:ascii="Arial" w:hAnsi="Arial" w:eastAsia="Arial"/>
          <w:color w:val="000000"/>
          <w:u w:val="none"/>
        </w:rPr>
        <w:t>El caballo reutiliza el comportamiento de salto; torre, alfil y dama combinan desplazamientos adecuados. Una pieza nueva puede expresarse combinando reglas existentes. La prueba de extensibilidad registra una pieza adicional sin modificar las clases de piezas ya existentes.</w:t>
      </w:r>
    </w:p>
    <w:p>
      <w:r>
        <w:rPr>
          <w:rFonts w:ascii="Arial" w:hAnsi="Arial" w:eastAsia="Arial"/>
          <w:b/>
          <w:color w:val="000000"/>
          <w:u w:val="none"/>
        </w:rPr>
        <w:t xml:space="preserve">Cuándo dejaría de ser adecuada. </w:t>
      </w:r>
      <w:r>
        <w:rPr>
          <w:rFonts w:ascii="Arial" w:hAnsi="Arial" w:eastAsia="Arial"/>
          <w:color w:val="000000"/>
          <w:u w:val="none"/>
        </w:rPr>
        <w:t>Si una pieza tuviera reglas muy particulares, estado propio o interacciones difíciles de expresar con estos comportamientos, la composición actual podría volverse confusa. En ese caso convendría introducir una regla especializada y probar que el diseño siga siendo más simple que una jerarquía rígida.</w:t>
      </w:r>
    </w:p>
    <w:p>
      <w:pPr>
        <w:pStyle w:val="Heading1"/>
      </w:pPr>
      <w:r>
        <w:rPr>
          <w:rFonts w:ascii="Arial" w:hAnsi="Arial" w:eastAsia="Arial"/>
          <w:color w:val="000000"/>
          <w:u w:val="none"/>
        </w:rPr>
        <w:t>3. Separación entre destinos y casillas atacadas</w:t>
      </w:r>
    </w:p>
    <w:p>
      <w:r>
        <w:rPr>
          <w:rFonts w:ascii="Arial" w:hAnsi="Arial" w:eastAsia="Arial"/>
          <w:b/>
          <w:color w:val="000000"/>
          <w:u w:val="none"/>
        </w:rPr>
        <w:t xml:space="preserve">Qué elegimos. </w:t>
      </w:r>
      <w:r>
        <w:rPr>
          <w:rFonts w:ascii="Arial" w:hAnsi="Arial" w:eastAsia="Arial"/>
          <w:color w:val="000000"/>
          <w:u w:val="none"/>
        </w:rPr>
        <w:t>El modelo distingue los movimientos que una pieza puede realizar de las casillas que amenaza. Esta diferencia es necesaria especialmente para los peones: avanzan de frente y capturan en diagonal.</w:t>
      </w:r>
    </w:p>
    <w:p>
      <w:r>
        <w:rPr>
          <w:rFonts w:ascii="Arial" w:hAnsi="Arial" w:eastAsia="Arial"/>
          <w:b/>
          <w:color w:val="000000"/>
          <w:u w:val="none"/>
        </w:rPr>
        <w:t xml:space="preserve">Por qué. </w:t>
      </w:r>
      <w:r>
        <w:rPr>
          <w:rFonts w:ascii="Arial" w:hAnsi="Arial" w:eastAsia="Arial"/>
          <w:color w:val="000000"/>
          <w:u w:val="none"/>
        </w:rPr>
        <w:t>El jaque depende de las casillas atacadas, mientras que una jugada legal depende de los destinos disponibles. Separar ambos conceptos evita declarar jaque por una casilla a la que el peón podría avanzar, pero no atacar.</w:t>
      </w:r>
    </w:p>
    <w:p>
      <w:r>
        <w:rPr>
          <w:rFonts w:ascii="Arial" w:hAnsi="Arial" w:eastAsia="Arial"/>
          <w:b/>
          <w:color w:val="000000"/>
          <w:u w:val="none"/>
        </w:rPr>
        <w:t xml:space="preserve">Cuándo dejaría de ser adecuada. </w:t>
      </w:r>
      <w:r>
        <w:rPr>
          <w:rFonts w:ascii="Arial" w:hAnsi="Arial" w:eastAsia="Arial"/>
          <w:color w:val="000000"/>
          <w:u w:val="none"/>
        </w:rPr>
        <w:t>Si el juego incorporara variantes con reglas de ataque más complejas, la distinción podría necesitar un objeto de reglas más expresivo. Para el ajedrez clásico, exponer ambos conceptos mantiene claro el propósito de cada consulta.</w:t>
      </w:r>
    </w:p>
    <w:p>
      <w:pPr>
        <w:pStyle w:val="Heading1"/>
      </w:pPr>
      <w:r>
        <w:rPr>
          <w:rFonts w:ascii="Arial" w:hAnsi="Arial" w:eastAsia="Arial"/>
          <w:color w:val="000000"/>
          <w:u w:val="none"/>
        </w:rPr>
        <w:t>4. Catálogo de piezas</w:t>
      </w:r>
    </w:p>
    <w:p>
      <w:r>
        <w:rPr>
          <w:rFonts w:ascii="Arial" w:hAnsi="Arial" w:eastAsia="Arial"/>
          <w:b/>
          <w:color w:val="000000"/>
          <w:u w:val="none"/>
        </w:rPr>
        <w:t xml:space="preserve">Qué elegimos. </w:t>
      </w:r>
      <w:r>
        <w:rPr>
          <w:rFonts w:ascii="Arial" w:hAnsi="Arial" w:eastAsia="Arial"/>
          <w:color w:val="000000"/>
          <w:u w:val="none"/>
        </w:rPr>
        <w:t>El catálogo asocia nombres con fábricas de piezas y permite registrar tipos nuevos. La partida recibe el catálogo como dependencia opcional y usa el catálogo clásico por defecto.</w:t>
      </w:r>
    </w:p>
    <w:p>
      <w:r>
        <w:rPr>
          <w:rFonts w:ascii="Arial" w:hAnsi="Arial" w:eastAsia="Arial"/>
          <w:b/>
          <w:color w:val="000000"/>
          <w:u w:val="none"/>
        </w:rPr>
        <w:t xml:space="preserve">Por qué. </w:t>
      </w:r>
      <w:r>
        <w:rPr>
          <w:rFonts w:ascii="Arial" w:hAnsi="Arial" w:eastAsia="Arial"/>
          <w:color w:val="000000"/>
          <w:u w:val="none"/>
        </w:rPr>
        <w:t>Esto concentra la creación y facilita extender el conjunto de piezas para una defensa o variante. La lógica principal no necesita conocer cómo se construye cada tipo concreto.</w:t>
      </w:r>
    </w:p>
    <w:p>
      <w:r>
        <w:rPr>
          <w:rFonts w:ascii="Arial" w:hAnsi="Arial" w:eastAsia="Arial"/>
          <w:b/>
          <w:color w:val="000000"/>
          <w:u w:val="none"/>
        </w:rPr>
        <w:t xml:space="preserve">Cuándo dejaría de ser adecuada. </w:t>
      </w:r>
      <w:r>
        <w:rPr>
          <w:rFonts w:ascii="Arial" w:hAnsi="Arial" w:eastAsia="Arial"/>
          <w:color w:val="000000"/>
          <w:u w:val="none"/>
        </w:rPr>
        <w:t>Si el proyecto fuera a soportar únicamente un conjunto fijo y nunca se probara una extensión, el catálogo podría ser indirección innecesaria. En ese escenario, una construcción directa sería más fácil de leer.</w:t>
      </w:r>
    </w:p>
    <w:p>
      <w:pPr>
        <w:pStyle w:val="Heading1"/>
      </w:pPr>
      <w:r>
        <w:rPr>
          <w:rFonts w:ascii="Arial" w:hAnsi="Arial" w:eastAsia="Arial"/>
          <w:color w:val="000000"/>
          <w:u w:val="none"/>
        </w:rPr>
        <w:t>5. Configuración inyectable y dimensiones variables</w:t>
      </w:r>
    </w:p>
    <w:p>
      <w:r>
        <w:rPr>
          <w:rFonts w:ascii="Arial" w:hAnsi="Arial" w:eastAsia="Arial"/>
          <w:b/>
          <w:color w:val="000000"/>
          <w:u w:val="none"/>
        </w:rPr>
        <w:t xml:space="preserve">Qué elegimos. </w:t>
      </w:r>
      <w:r>
        <w:rPr>
          <w:rFonts w:ascii="Arial" w:hAnsi="Arial" w:eastAsia="Arial"/>
          <w:color w:val="000000"/>
          <w:u w:val="none"/>
        </w:rPr>
        <w:t>La partida recibe una disposición inicial y un catálogo opcionales. El tablero recibe sus dimensiones, con 8×8 como configuración clásica.</w:t>
      </w:r>
    </w:p>
    <w:p>
      <w:r>
        <w:rPr>
          <w:rFonts w:ascii="Arial" w:hAnsi="Arial" w:eastAsia="Arial"/>
          <w:b/>
          <w:color w:val="000000"/>
          <w:u w:val="none"/>
        </w:rPr>
        <w:t xml:space="preserve">Por qué. </w:t>
      </w:r>
      <w:r>
        <w:rPr>
          <w:rFonts w:ascii="Arial" w:hAnsi="Arial" w:eastAsia="Arial"/>
          <w:color w:val="000000"/>
          <w:u w:val="none"/>
        </w:rPr>
        <w:t>Permite construir posiciones controladas para probar jaques, capturas y movimientos sin preparar una partida entera. También permite verificar la extensibilidad de tamaño de tablero pedida para la defensa individual.</w:t>
      </w:r>
    </w:p>
    <w:p>
      <w:r>
        <w:rPr>
          <w:rFonts w:ascii="Arial" w:hAnsi="Arial" w:eastAsia="Arial"/>
          <w:b/>
          <w:color w:val="000000"/>
          <w:u w:val="none"/>
        </w:rPr>
        <w:t xml:space="preserve">Cuándo dejaría de ser adecuada. </w:t>
      </w:r>
      <w:r>
        <w:rPr>
          <w:rFonts w:ascii="Arial" w:hAnsi="Arial" w:eastAsia="Arial"/>
          <w:color w:val="000000"/>
          <w:u w:val="none"/>
        </w:rPr>
        <w:t>Si existiera una garantía de que el juego siempre usa una única disposición y un tablero fijo, aceptar configuraciones alternativas aumentaría el espacio de casos que hay que validar sin una necesidad real. La configuración se conserva porque mejora las pruebas y permite verificar extensibilidad.</w:t>
      </w:r>
    </w:p>
    <w:p>
      <w:pPr>
        <w:pStyle w:val="Heading1"/>
      </w:pPr>
      <w:r>
        <w:rPr>
          <w:rFonts w:ascii="Arial" w:hAnsi="Arial" w:eastAsia="Arial"/>
          <w:color w:val="000000"/>
          <w:u w:val="none"/>
        </w:rPr>
        <w:t>6. Simular una jugada sobre una copia</w:t>
      </w:r>
    </w:p>
    <w:p>
      <w:r>
        <w:rPr>
          <w:rFonts w:ascii="Arial" w:hAnsi="Arial" w:eastAsia="Arial"/>
          <w:b/>
          <w:color w:val="000000"/>
          <w:u w:val="none"/>
        </w:rPr>
        <w:t xml:space="preserve">Qué elegimos. </w:t>
      </w:r>
      <w:r>
        <w:rPr>
          <w:rFonts w:ascii="Arial" w:hAnsi="Arial" w:eastAsia="Arial"/>
          <w:color w:val="000000"/>
          <w:u w:val="none"/>
        </w:rPr>
        <w:t>Para decidir si una jugada deja al rey propio en jaque, el núcleo copia el tablero, aplica el movimiento tentativo a esa copia y consulta el estado resultante.</w:t>
      </w:r>
    </w:p>
    <w:p>
      <w:r>
        <w:rPr>
          <w:rFonts w:ascii="Arial" w:hAnsi="Arial" w:eastAsia="Arial"/>
          <w:b/>
          <w:color w:val="000000"/>
          <w:u w:val="none"/>
        </w:rPr>
        <w:t xml:space="preserve">Por qué. </w:t>
      </w:r>
      <w:r>
        <w:rPr>
          <w:rFonts w:ascii="Arial" w:hAnsi="Arial" w:eastAsia="Arial"/>
          <w:color w:val="000000"/>
          <w:u w:val="none"/>
        </w:rPr>
        <w:t>Así se prueba el efecto completo de la jugada sin alterar el tablero real, el turno o el historial. La validación se entiende como una simulación aislada: si el rey queda atacado, se descarta el movimiento.</w:t>
      </w:r>
    </w:p>
    <w:p>
      <w:r>
        <w:rPr>
          <w:rFonts w:ascii="Arial" w:hAnsi="Arial" w:eastAsia="Arial"/>
          <w:b/>
          <w:color w:val="000000"/>
          <w:u w:val="none"/>
        </w:rPr>
        <w:t xml:space="preserve">Cuándo dejaría de ser adecuada. </w:t>
      </w:r>
      <w:r>
        <w:rPr>
          <w:rFonts w:ascii="Arial" w:hAnsi="Arial" w:eastAsia="Arial"/>
          <w:color w:val="000000"/>
          <w:u w:val="none"/>
        </w:rPr>
        <w:t>Si el tablero creciera mucho o se evaluaran cantidades enormes de movimientos, copiarlo en cada validación podría resultar costoso. Recién con mediciones que muestren ese costo justificaría mantener un estado incremental de ataques, cuya complejidad también habría que probar.</w:t>
      </w:r>
    </w:p>
    <w:p>
      <w:pPr>
        <w:pStyle w:val="Heading1"/>
      </w:pPr>
      <w:r>
        <w:rPr>
          <w:rFonts w:ascii="Arial" w:hAnsi="Arial" w:eastAsia="Arial"/>
          <w:color w:val="000000"/>
          <w:u w:val="none"/>
        </w:rPr>
        <w:t>7. Posiciones y piezas inmutables</w:t>
      </w:r>
    </w:p>
    <w:p>
      <w:r>
        <w:rPr>
          <w:rFonts w:ascii="Arial" w:hAnsi="Arial" w:eastAsia="Arial"/>
          <w:b/>
          <w:color w:val="000000"/>
          <w:u w:val="none"/>
        </w:rPr>
        <w:t xml:space="preserve">Qué elegimos. </w:t>
      </w:r>
      <w:r>
        <w:rPr>
          <w:rFonts w:ascii="Arial" w:hAnsi="Arial" w:eastAsia="Arial"/>
          <w:color w:val="000000"/>
          <w:u w:val="none"/>
        </w:rPr>
        <w:t>Las posiciones y piezas se representan como valores inmutables. El estado que cambia durante una partida se concentra principalmente en el tablero, el turno y el historial.</w:t>
      </w:r>
    </w:p>
    <w:p>
      <w:r>
        <w:rPr>
          <w:rFonts w:ascii="Arial" w:hAnsi="Arial" w:eastAsia="Arial"/>
          <w:b/>
          <w:color w:val="000000"/>
          <w:u w:val="none"/>
        </w:rPr>
        <w:t xml:space="preserve">Por qué. </w:t>
      </w:r>
      <w:r>
        <w:rPr>
          <w:rFonts w:ascii="Arial" w:hAnsi="Arial" w:eastAsia="Arial"/>
          <w:color w:val="000000"/>
          <w:u w:val="none"/>
        </w:rPr>
        <w:t>Los objetos inmutables se pueden compartir con menos riesgo de que una operación cambie silenciosamente una pieza o una coordenada usada en otro lugar. Esto ayuda a razonar sobre movimientos y pruebas.</w:t>
      </w:r>
    </w:p>
    <w:p>
      <w:r>
        <w:rPr>
          <w:rFonts w:ascii="Arial" w:hAnsi="Arial" w:eastAsia="Arial"/>
          <w:b/>
          <w:color w:val="000000"/>
          <w:u w:val="none"/>
        </w:rPr>
        <w:t xml:space="preserve">Cuándo dejaría de ser adecuada. </w:t>
      </w:r>
      <w:r>
        <w:rPr>
          <w:rFonts w:ascii="Arial" w:hAnsi="Arial" w:eastAsia="Arial"/>
          <w:color w:val="000000"/>
          <w:u w:val="none"/>
        </w:rPr>
        <w:t>Si una futura variante necesitara modificar con frecuencia el tipo, orientación o propiedades internas de cada pieza, la inmutabilidad podría exigir crear muchos objetos nuevos o complicar el modelo. En ese caso convendría revisar qué datos deben ser valores y cuáles forman parte del estado mutable.</w:t>
      </w:r>
    </w:p>
    <w:p>
      <w:pPr>
        <w:pStyle w:val="Heading1"/>
      </w:pPr>
      <w:r>
        <w:rPr>
          <w:rFonts w:ascii="Arial" w:hAnsi="Arial" w:eastAsia="Arial"/>
          <w:color w:val="000000"/>
          <w:u w:val="none"/>
        </w:rPr>
        <w:t>Aplicación de principios y patrones</w:t>
      </w:r>
    </w:p>
    <w:p>
      <w:r>
        <w:rPr>
          <w:rFonts w:ascii="Arial" w:hAnsi="Arial" w:eastAsia="Arial"/>
          <w:color w:val="000000"/>
          <w:u w:val="none"/>
        </w:rPr>
        <w:t>La separación entre núcleo y adaptador reduce el acoplamiento con la entrada/salida. La inyección del catálogo y de la disposición permite reemplazar dependencias al probar. La composición representa movimientos con comportamientos combinables. El catálogo facilita agregar tipos sin editar el código de las piezas existentes. Estas decisiones se relacionan con SOLID y con patrones vistos en la cursada, pero no se incorporan para cumplir una lista de nombres: se mantienen porque resuelven necesidades concretas del proyecto.</w:t>
      </w:r>
    </w:p>
    <w:p>
      <w:r>
        <w:rPr>
          <w:rFonts w:ascii="Arial" w:hAnsi="Arial" w:eastAsia="Arial"/>
          <w:color w:val="000000"/>
          <w:u w:val="none"/>
        </w:rPr>
        <w:t>No se agregó Command para deshacer ni una máquina State para los turnos. La consigna lista deshacer como opcional y los turnos actuales se expresan con un estado simple. Incorporar esas estructuras sin una necesidad adicional haría más difícil seguir el flujo del juego.</w:t>
      </w:r>
    </w:p>
    <w:p>
      <w:r>
        <w:rPr>
          <w:rFonts w:ascii="Arial" w:hAnsi="Arial" w:eastAsia="Arial"/>
          <w:color w:val="000000"/>
          <w:u w:val="none"/>
        </w:rPr>
        <w:t>La prueba de regresión de captura del rey verifica una regla de estado: el rey no se elimina mediante una jugada. El final se detecta por jaque mate, que ya está implementado. Así la corrección mantiene coherencia entre movimientos legales, ejecución de movimientos y detección de mate.</w:t>
      </w:r>
    </w:p>
    <w:p>
      <w:pPr>
        <w:pStyle w:val="Heading1"/>
      </w:pPr>
      <w:r>
        <w:rPr>
          <w:rFonts w:ascii="Arial" w:hAnsi="Arial" w:eastAsia="Arial"/>
          <w:color w:val="000000"/>
          <w:u w:val="none"/>
        </w:rPr>
        <w:t>Alcance de esta versión</w:t>
      </w:r>
    </w:p>
    <w:p>
      <w:r>
        <w:rPr>
          <w:rFonts w:ascii="Arial" w:hAnsi="Arial" w:eastAsia="Arial"/>
          <w:color w:val="000000"/>
          <w:u w:val="none"/>
        </w:rPr>
        <w:t>El proyecto implementa tablero clásico, seis piezas, turnos, capturas, movimientos legales, detección de jaque y jaque mate. Enroque, captura al paso, promoción, tablas, inteligencia artificial, deshacer/rehacer e interfaz gráfica son ampliaciones opcionales de la consigna y no se presentan como funciones implementadas.</w:t>
      </w:r>
    </w:p>
    <w:p>
      <w:r>
        <w:rPr>
          <w:rFonts w:ascii="Arial" w:hAnsi="Arial"/>
          <w:color w:val="000000"/>
          <w:u w:val="none"/>
        </w:rPr>
        <w:t>La consigna indica un grupo de 3 a 5 integrantes. El grupo informa que el profesor autorizó seis. La nómina completa figura en la copia local de entrega.</w:t>
      </w:r>
    </w:p>
    <w:sectPr w:rsidR="00FC693F" w:rsidRPr="0006063C" w:rsidSect="00034616">
      <w:pgSz w:w="12240" w:h="15840"/>
      <w:pgMar w:top="1037" w:right="1224"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Arial" w:hAnsi="Arial" w:cs="Arial" w:eastAsia="Arial"/>
      <w:b w:val="0"/>
      <w:color w:val="000000"/>
      <w:sz w:val="20"/>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cs="Arial" w:eastAsia="Arial"/>
      <w:b/>
      <w:bCs/>
      <w:color w:val="000000"/>
      <w:sz w:val="28"/>
      <w:szCs w:val="28"/>
      <w:u w:val="none"/>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cs="Arial" w:eastAsia="Arial"/>
      <w:b/>
      <w:bCs/>
      <w:color w:val="000000"/>
      <w:sz w:val="23"/>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s="Arial" w:eastAsia="Arial"/>
      <w:b/>
      <w:color w:val="000000"/>
      <w:spacing w:val="5"/>
      <w:kern w:val="28"/>
      <w:sz w:val="42"/>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