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Rule="auto"/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Informe de Proyecto – INF-225-2018-1 CSJ</w:t>
      </w:r>
    </w:p>
    <w:p w:rsidR="00000000" w:rsidDel="00000000" w:rsidP="00000000" w:rsidRDefault="00000000" w:rsidRPr="00000000" w14:paraId="00000002">
      <w:pPr>
        <w:spacing w:after="0" w:before="0" w:lineRule="auto"/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Proyecto: Sistema de solicitud de insumos de GPI</w:t>
      </w:r>
    </w:p>
    <w:p w:rsidR="00000000" w:rsidDel="00000000" w:rsidP="00000000" w:rsidRDefault="00000000" w:rsidRPr="00000000" w14:paraId="00000003">
      <w:pPr>
        <w:spacing w:after="0" w:before="0" w:lineRule="auto"/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05-08-2018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tbl>
      <w:tblPr>
        <w:tblStyle w:val="Table1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3975"/>
        <w:gridCol w:w="1635"/>
        <w:tblGridChange w:id="0">
          <w:tblGrid>
            <w:gridCol w:w="3510"/>
            <w:gridCol w:w="3975"/>
            <w:gridCol w:w="1635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 USM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Montserrat Figueroa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monserrat.figueroa@sansano.usm.cl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201573525-5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Ignacio Tampe Palma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ignacio.tampe@sansano.usm.cl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201573514-k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Zalavari Palma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franco.zalavari@sansano.usm.cl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201573501-8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Contenido del Informe a Entregar                                      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clave</w:t>
            <w:tab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Árbol de Utilidad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de Software</w:t>
            <w:tab/>
          </w:r>
          <w:r w:rsidDel="00000000" w:rsidR="00000000" w:rsidRPr="00000000">
            <w:rPr>
              <w:b w:val="1"/>
              <w:color w:val="000000"/>
              <w:sz w:val="22"/>
              <w:szCs w:val="22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Trade-offs entre tecnologías</w:t>
            <w:tab/>
          </w:r>
          <w:r w:rsidDel="00000000" w:rsidR="00000000" w:rsidRPr="00000000">
            <w:rPr>
              <w:b w:val="1"/>
              <w:color w:val="000000"/>
              <w:sz w:val="22"/>
              <w:szCs w:val="22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contextualSpacing w:val="0"/>
            <w:jc w:val="both"/>
            <w:rPr>
              <w:color w:val="ff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  <w:color w:val="335b8a"/>
          <w:sz w:val="32"/>
          <w:szCs w:val="32"/>
        </w:rPr>
      </w:pPr>
      <w:bookmarkStart w:colFirst="0" w:colLast="0" w:name="_2et92p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tyjcwt" w:id="1"/>
      <w:bookmarkEnd w:id="1"/>
      <w:r w:rsidDel="00000000" w:rsidR="00000000" w:rsidRPr="00000000">
        <w:rPr>
          <w:rtl w:val="0"/>
        </w:rPr>
        <w:t xml:space="preserve">Requisitos clave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6"/>
        <w:gridCol w:w="6202"/>
        <w:tblGridChange w:id="0">
          <w:tblGrid>
            <w:gridCol w:w="2626"/>
            <w:gridCol w:w="6202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funcional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y medición 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solicitud de insumo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personal de obra solicita un insumo faltante a través del sistema enviando un formulario a bodega.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solicitudes de insumos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bodegueros deben revisar nuevas solicitudes de personal de obra para revisar stock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órdenes de compra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encargados de bodega revisan el estado las órdenes de compra para asegurar su envío en el día especificado.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Envío de cotización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proveedores deben hacer su llegar su cotización al sistema para gestionar el pago y pronto envío del pedido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órdenes de compra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encargado de compra genera órdenes para pedir productos no disponibles en bodega según bodegueros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Stock de un producto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bodegueros revisan la plataforma para asegurar la disponibilidad de productos para asignar o solicitarlos.</w:t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Rule="auto"/>
        <w:ind w:hanging="720"/>
        <w:contextualSpacing w:val="0"/>
        <w:jc w:val="both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6"/>
        <w:gridCol w:w="6202"/>
        <w:tblGridChange w:id="0">
          <w:tblGrid>
            <w:gridCol w:w="2626"/>
            <w:gridCol w:w="6202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extra-funcional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y medición 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Desempeño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 poder acceder al sistema y modificar datos aún utilizando conexiones lentas e inestables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Integridad de datos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Asegurar stock fidedigno a la realidad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Interoperabilidad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Integración de datos de aplicaciones de terceros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hanging="72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3dy6vkm" w:id="2"/>
      <w:bookmarkEnd w:id="2"/>
      <w:r w:rsidDel="00000000" w:rsidR="00000000" w:rsidRPr="00000000">
        <w:rPr>
          <w:rFonts w:ascii="Calibri" w:cs="Calibri" w:eastAsia="Calibri" w:hAnsi="Calibri"/>
          <w:color w:val="335b8a"/>
          <w:rtl w:val="0"/>
        </w:rPr>
        <w:t xml:space="preserve">Árbol de Utilidad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480"/>
          <w:tab w:val="right" w:pos="8828"/>
        </w:tabs>
        <w:spacing w:after="0" w:before="120" w:lineRule="auto"/>
        <w:contextualSpacing w:val="0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09141" cy="418179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141" cy="418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contextualSpacing w:val="0"/>
        <w:jc w:val="both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Modelo de Software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42698" cy="374108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698" cy="374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incluye versión en alta calidad dentro del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Tabla 3: Selección de Patrones</w:t>
      </w:r>
    </w:p>
    <w:tbl>
      <w:tblPr>
        <w:tblStyle w:val="Table4"/>
        <w:tblW w:w="9045.0" w:type="dxa"/>
        <w:jc w:val="left"/>
        <w:tblInd w:w="0.0" w:type="dxa"/>
        <w:tblLayout w:type="fixed"/>
        <w:tblLook w:val="0400"/>
      </w:tblPr>
      <w:tblGrid>
        <w:gridCol w:w="3525"/>
        <w:gridCol w:w="2295"/>
        <w:gridCol w:w="3225"/>
        <w:tblGridChange w:id="0">
          <w:tblGrid>
            <w:gridCol w:w="3525"/>
            <w:gridCol w:w="2295"/>
            <w:gridCol w:w="32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Intención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Patrón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Razonamiento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información actualizada, sobre el estado de stock y pedidos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Model-View-Controller (MVC)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MVC permite separar el modelo de la vista, por lo cual cualquier cambio en el modelo no requiere una modificación en las vistas o viceversa, también permite representar los mismos datos de diferente manera.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Asegurar inicio de sesión en solicitudes a la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Decorator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Decorator agrega cambios a funciones ya implementadas sin necesitar de rehacer todo nuevamente.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integridad en los datos y poder actualizarlos de manera eficiente.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Relational Mapping (ORM)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ORM permite la abstracción de la base de datos facilitando el acceso y el manejo de los datos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Agilizar procesos de construcción de formularios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Factory entrega la facilidad de entregar objetos sin especificar detalles previos lo que permite crear cosas bajo demanda.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Trade-offs entre tecnologías</w:t>
      </w:r>
    </w:p>
    <w:p w:rsidR="00000000" w:rsidDel="00000000" w:rsidP="00000000" w:rsidRDefault="00000000" w:rsidRPr="00000000" w14:paraId="00000061">
      <w:pPr>
        <w:keepNext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2130" cy="2679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8.0" w:type="dxa"/>
        <w:jc w:val="left"/>
        <w:tblInd w:w="0.0" w:type="dxa"/>
        <w:tblLayout w:type="fixed"/>
        <w:tblLook w:val="0400"/>
      </w:tblPr>
      <w:tblGrid>
        <w:gridCol w:w="1683"/>
        <w:gridCol w:w="2070"/>
        <w:gridCol w:w="1500"/>
        <w:gridCol w:w="3815"/>
        <w:tblGridChange w:id="0">
          <w:tblGrid>
            <w:gridCol w:w="1683"/>
            <w:gridCol w:w="2070"/>
            <w:gridCol w:w="1500"/>
            <w:gridCol w:w="38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Softgoal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Razonamiento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Modularidad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la mantención de manera eficaz sin comprometer la disponibilidad completa del software.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Modularidad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Latencia de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Aumenta los tiempos de ejecución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Controlar acceso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Confidencialidad de los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Controlar el acceso de usuarios a los distintos datos permite que estos solo sean vistos por la persona adecuada y se evitan modificaciones erróneas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Tokens CSRF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Integridad de los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Aseguran que toda consulta POST fue hecha por un usuario dentro del sistema sin permitir inyecciones de elementos a través de forms.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Interfaz Simple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Facilidad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mejor la comprensión del usuario al utilizar el software, ya que no se ve sobrecargado con información en cada vista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Encriptación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Confidencialidad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utiliza SSL para asegurar cifrado punto a punto entre el usuario y el servidor.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even"/>
      <w:pgSz w:h="15840" w:w="12240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0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0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Ingeniería de Software 2018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0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0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0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Proyecto </w:t>
    </w:r>
    <w:r w:rsidDel="00000000" w:rsidR="00000000" w:rsidRPr="00000000">
      <w:rPr>
        <w:rtl w:val="0"/>
      </w:rPr>
      <w:t xml:space="preserve">“Sistema de solicitud de insumos de GPI”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Entregable II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0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612130" cy="786130"/>
          <wp:effectExtent b="0" l="0" r="0" t="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861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CL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720" w:hanging="360"/>
      <w:contextualSpacing w:val="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