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7E" w:rsidRPr="00C738AF" w:rsidRDefault="00C738AF" w:rsidP="00C738AF">
      <w:pPr>
        <w:rPr>
          <w:rFonts w:ascii="Times New Roman" w:hAnsi="Times New Roman" w:cs="Times New Roman"/>
          <w:sz w:val="28"/>
          <w:szCs w:val="28"/>
        </w:rPr>
      </w:pPr>
      <w:r w:rsidRPr="00C738A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738AF">
        <w:rPr>
          <w:rFonts w:ascii="Times New Roman" w:hAnsi="Times New Roman" w:cs="Times New Roman"/>
          <w:sz w:val="28"/>
          <w:szCs w:val="28"/>
        </w:rPr>
        <w:t xml:space="preserve"> – освоить работу со стандартами системы ЕСКД, уяснить общие правилами оформления схем электрических путем выявления и анализа несоответствий, допущенных при оформлении готовых схем, существующим нормам и правилам, зафиксированным в стандартах этой системы.</w:t>
      </w:r>
    </w:p>
    <w:p w:rsidR="00C738AF" w:rsidRDefault="00C738AF" w:rsidP="00C738AF">
      <w:r>
        <w:rPr>
          <w:noProof/>
          <w:lang w:eastAsia="ru-RU"/>
        </w:rPr>
        <w:drawing>
          <wp:inline distT="0" distB="0" distL="0" distR="0">
            <wp:extent cx="5939790" cy="4206240"/>
            <wp:effectExtent l="0" t="0" r="3810" b="3810"/>
            <wp:docPr id="4" name="Рисунок 4" descr="C:\Users\roshchupkin\AppData\Local\Microsoft\Windows\INetCache\Content.Word\1048963_html_760f6800e6b5a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oshchupkin\AppData\Local\Microsoft\Windows\INetCache\Content.Word\1048963_html_760f6800e6b5a2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AF" w:rsidRDefault="00C738AF" w:rsidP="00C738AF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Электрическая принципиальная схема "Генератор импульсов"</w:t>
      </w:r>
    </w:p>
    <w:p w:rsidR="00C738AF" w:rsidRDefault="00C738AF" w:rsidP="00C738AF">
      <w:pPr>
        <w:rPr>
          <w:rFonts w:ascii="Segoe UI" w:hAnsi="Segoe UI" w:cs="Segoe UI"/>
          <w:color w:val="0F1115"/>
          <w:shd w:val="clear" w:color="auto" w:fill="FFFFFF"/>
        </w:rPr>
      </w:pP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t xml:space="preserve">Задание </w:t>
      </w:r>
      <w:bookmarkStart w:id="0" w:name="_GoBack"/>
      <w:bookmarkEnd w:id="0"/>
      <w:r w:rsidR="00C738AF" w:rsidRPr="00C738AF">
        <w:rPr>
          <w:rStyle w:val="a3"/>
          <w:b/>
          <w:bCs/>
          <w:color w:val="0F1115"/>
          <w:sz w:val="28"/>
          <w:szCs w:val="28"/>
        </w:rPr>
        <w:t>1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Идентификация схемы и проверка вида и типа</w:t>
      </w:r>
    </w:p>
    <w:p w:rsidR="00C738AF" w:rsidRPr="00C738AF" w:rsidRDefault="00C738AF" w:rsidP="00C738AF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Идентификация:</w:t>
      </w:r>
      <w:r w:rsidRPr="00C738AF">
        <w:rPr>
          <w:color w:val="0F1115"/>
          <w:sz w:val="28"/>
          <w:szCs w:val="28"/>
        </w:rPr>
        <w:t> Схема является </w:t>
      </w:r>
      <w:r w:rsidRPr="00C738AF">
        <w:rPr>
          <w:rStyle w:val="a3"/>
          <w:color w:val="0F1115"/>
          <w:sz w:val="28"/>
          <w:szCs w:val="28"/>
        </w:rPr>
        <w:t>электрической</w:t>
      </w:r>
      <w:r w:rsidRPr="00C738AF">
        <w:rPr>
          <w:color w:val="0F1115"/>
          <w:sz w:val="28"/>
          <w:szCs w:val="28"/>
        </w:rPr>
        <w:t>.</w:t>
      </w:r>
    </w:p>
    <w:p w:rsidR="00C738AF" w:rsidRPr="00C738AF" w:rsidRDefault="00C738AF" w:rsidP="00C738AF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Вид и тип:</w:t>
      </w:r>
      <w:r w:rsidRPr="00C738AF">
        <w:rPr>
          <w:color w:val="0F1115"/>
          <w:sz w:val="28"/>
          <w:szCs w:val="28"/>
        </w:rPr>
        <w:t> Согласно ГОСТ 2.701-2008, схема отнесена к типу </w:t>
      </w:r>
      <w:r w:rsidRPr="00C738AF">
        <w:rPr>
          <w:rStyle w:val="a3"/>
          <w:color w:val="0F1115"/>
          <w:sz w:val="28"/>
          <w:szCs w:val="28"/>
        </w:rPr>
        <w:t>схема принципиальная (полная)</w:t>
      </w:r>
      <w:r w:rsidRPr="00C738AF">
        <w:rPr>
          <w:color w:val="0F1115"/>
          <w:sz w:val="28"/>
          <w:szCs w:val="28"/>
        </w:rPr>
        <w:t>. Код типа схемы - </w:t>
      </w:r>
      <w:r w:rsidRPr="00C738AF">
        <w:rPr>
          <w:rStyle w:val="a3"/>
          <w:color w:val="0F1115"/>
          <w:sz w:val="28"/>
          <w:szCs w:val="28"/>
        </w:rPr>
        <w:t>Э3</w:t>
      </w:r>
      <w:r w:rsidRPr="00C738AF">
        <w:rPr>
          <w:color w:val="0F1115"/>
          <w:sz w:val="28"/>
          <w:szCs w:val="28"/>
        </w:rPr>
        <w:t>.</w:t>
      </w:r>
    </w:p>
    <w:p w:rsidR="00C738AF" w:rsidRPr="00C738AF" w:rsidRDefault="00C738AF" w:rsidP="00C738AF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«Соответствует»</w:t>
      </w:r>
      <w:r w:rsidRPr="00C738AF">
        <w:rPr>
          <w:color w:val="0F1115"/>
          <w:sz w:val="28"/>
          <w:szCs w:val="28"/>
        </w:rPr>
        <w:t> - в основной надписи указано правильное наименование и код типа схемы.</w:t>
      </w:r>
    </w:p>
    <w:p w:rsidR="00C738AF" w:rsidRPr="00C738AF" w:rsidRDefault="00C738AF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rStyle w:val="a3"/>
          <w:b/>
          <w:bCs/>
          <w:color w:val="0F1115"/>
          <w:sz w:val="28"/>
          <w:szCs w:val="28"/>
        </w:rPr>
      </w:pPr>
    </w:p>
    <w:p w:rsidR="00C738AF" w:rsidRDefault="00C738AF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rStyle w:val="a3"/>
          <w:b/>
          <w:bCs/>
          <w:color w:val="0F1115"/>
          <w:sz w:val="28"/>
          <w:szCs w:val="28"/>
        </w:rPr>
      </w:pP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lastRenderedPageBreak/>
        <w:t xml:space="preserve">Задание </w:t>
      </w:r>
      <w:r w:rsidR="00C738AF" w:rsidRPr="00C738AF">
        <w:rPr>
          <w:rStyle w:val="a3"/>
          <w:b/>
          <w:bCs/>
          <w:color w:val="0F1115"/>
          <w:sz w:val="28"/>
          <w:szCs w:val="28"/>
        </w:rPr>
        <w:t>2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Анализ общих правил выполнения схем по ГОСТ 2.701 и ГОСТ 2.301</w:t>
      </w:r>
    </w:p>
    <w:p w:rsidR="00C738AF" w:rsidRPr="00C738AF" w:rsidRDefault="00C738AF" w:rsidP="00C738AF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Формат схемы: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*Требование ГОСТ 2.301-68:* Стандартные форматы А</w:t>
      </w:r>
      <w:proofErr w:type="gramStart"/>
      <w:r w:rsidRPr="00C738AF">
        <w:rPr>
          <w:color w:val="0F1115"/>
          <w:sz w:val="28"/>
          <w:szCs w:val="28"/>
        </w:rPr>
        <w:t>4</w:t>
      </w:r>
      <w:proofErr w:type="gramEnd"/>
      <w:r w:rsidRPr="00C738AF">
        <w:rPr>
          <w:color w:val="0F1115"/>
          <w:sz w:val="28"/>
          <w:szCs w:val="28"/>
        </w:rPr>
        <w:t>, А3, А2, А1, А0.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На изображении формат не идентифицируется.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«Требует проверки»</w:t>
      </w:r>
      <w:r w:rsidRPr="00C738AF">
        <w:rPr>
          <w:color w:val="0F1115"/>
          <w:sz w:val="28"/>
          <w:szCs w:val="28"/>
        </w:rPr>
        <w:t> - необходимо уточнить формат чертежа.</w:t>
      </w:r>
    </w:p>
    <w:p w:rsidR="00C738AF" w:rsidRPr="00C738AF" w:rsidRDefault="00C738AF" w:rsidP="00C738AF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Основная надпись: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*Требование ГОСТ 2.104-2006:* Наличие и правильность заполнения основной надписи.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Основная надпись присутствует, но заполнена не полностью (отсутствуют подписи, даты, инвентарные номера).</w:t>
      </w:r>
    </w:p>
    <w:p w:rsidR="00C738AF" w:rsidRPr="00C738AF" w:rsidRDefault="00C738AF" w:rsidP="00C738AF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«Нарушение»</w:t>
      </w:r>
      <w:r w:rsidRPr="00C738AF">
        <w:rPr>
          <w:color w:val="0F1115"/>
          <w:sz w:val="28"/>
          <w:szCs w:val="28"/>
        </w:rPr>
        <w:t> ГОСТ 2.104-2006 - основная надпись заполнена не полностью.</w:t>
      </w: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t xml:space="preserve">Задание </w:t>
      </w:r>
      <w:r w:rsidR="00C738AF" w:rsidRPr="00C738AF">
        <w:rPr>
          <w:rStyle w:val="a3"/>
          <w:b/>
          <w:bCs/>
          <w:color w:val="0F1115"/>
          <w:sz w:val="28"/>
          <w:szCs w:val="28"/>
        </w:rPr>
        <w:t>3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Анализ линий связи по ГОСТ 2.701-2008</w:t>
      </w:r>
    </w:p>
    <w:p w:rsidR="00C738AF" w:rsidRPr="00C738AF" w:rsidRDefault="00C738AF" w:rsidP="00C738AF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Толщина линий: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Требование:</w:t>
      </w:r>
      <w:r w:rsidRPr="00C738AF">
        <w:rPr>
          <w:color w:val="0F1115"/>
          <w:sz w:val="28"/>
          <w:szCs w:val="28"/>
        </w:rPr>
        <w:t> Линии связи должны иметь толщину от 0.2 до 1.0 мм, быть одинаковыми по всей схеме.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По изображению толщину линий определить невозможно.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«Требует проверки»</w:t>
      </w:r>
      <w:r w:rsidRPr="00C738AF">
        <w:rPr>
          <w:color w:val="0F1115"/>
          <w:sz w:val="28"/>
          <w:szCs w:val="28"/>
        </w:rPr>
        <w:t>.</w:t>
      </w:r>
    </w:p>
    <w:p w:rsidR="00C738AF" w:rsidRPr="00C738AF" w:rsidRDefault="00C738AF" w:rsidP="00C738AF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Расположение линий: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Требование:</w:t>
      </w:r>
      <w:r w:rsidRPr="00C738AF">
        <w:rPr>
          <w:color w:val="0F1115"/>
          <w:sz w:val="28"/>
          <w:szCs w:val="28"/>
        </w:rPr>
        <w:t> Параллельные линии должны быть проведены с минимальным расстоянием 1.0 мм.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На схеме наблюдается плотное расположение элементов и линий связи.</w:t>
      </w:r>
    </w:p>
    <w:p w:rsidR="00C738AF" w:rsidRPr="00C738AF" w:rsidRDefault="00C738AF" w:rsidP="00C738AF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«Возможное нарушение»</w:t>
      </w:r>
      <w:r w:rsidRPr="00C738AF">
        <w:rPr>
          <w:color w:val="0F1115"/>
          <w:sz w:val="28"/>
          <w:szCs w:val="28"/>
        </w:rPr>
        <w:t> п. 5.4.4 ГОСТ 2.701-2008 - требуется проверка расстояний.</w:t>
      </w: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t xml:space="preserve">Задание </w:t>
      </w:r>
      <w:r w:rsidR="00C738AF" w:rsidRPr="00C738AF">
        <w:rPr>
          <w:rStyle w:val="a3"/>
          <w:b/>
          <w:bCs/>
          <w:color w:val="0F1115"/>
          <w:sz w:val="28"/>
          <w:szCs w:val="28"/>
        </w:rPr>
        <w:t>4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Анализ УГО и буквенно-цифровых обозначений</w:t>
      </w:r>
    </w:p>
    <w:p w:rsidR="00C738AF" w:rsidRPr="00C738AF" w:rsidRDefault="00C738AF" w:rsidP="00C738AF">
      <w:pPr>
        <w:pStyle w:val="ds-markdown-paragraph"/>
        <w:numPr>
          <w:ilvl w:val="0"/>
          <w:numId w:val="1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Буквенно-цифровые обозначения (БО):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*Требование ГОСТ 2.710-81:* Позиционные обозначения должны соответствовать стандартной кодировке.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lastRenderedPageBreak/>
        <w:t>Проверка:</w:t>
      </w:r>
      <w:r w:rsidRPr="00C738AF">
        <w:rPr>
          <w:color w:val="0F1115"/>
          <w:sz w:val="28"/>
          <w:szCs w:val="28"/>
        </w:rPr>
        <w:t> Обозначения R1-R5, C1-C5, VD1 - соответствуют стандарту. Однако обозначения "I01" и "D41" требуют проверки на соответствие (должны быть, например, HL1 - для индикатора, DD1 - для микросхемы).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«Нарушение»</w:t>
      </w:r>
      <w:r w:rsidRPr="00C738AF">
        <w:rPr>
          <w:color w:val="0F1115"/>
          <w:sz w:val="28"/>
          <w:szCs w:val="28"/>
        </w:rPr>
        <w:t> ГОСТ 2.710-81 - нестандартные позиционные обозначения "I01", "D41".</w:t>
      </w:r>
    </w:p>
    <w:p w:rsidR="00C738AF" w:rsidRPr="00C738AF" w:rsidRDefault="00C738AF" w:rsidP="00C738AF">
      <w:pPr>
        <w:pStyle w:val="ds-markdown-paragraph"/>
        <w:numPr>
          <w:ilvl w:val="0"/>
          <w:numId w:val="1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Размеры УГО: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Требование:</w:t>
      </w:r>
      <w:r w:rsidRPr="00C738AF">
        <w:rPr>
          <w:color w:val="0F1115"/>
          <w:sz w:val="28"/>
          <w:szCs w:val="28"/>
        </w:rPr>
        <w:t> Стандартные размеры условных графических обозначений.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Размеры УГО в основном соответствуют требованиям.</w:t>
      </w:r>
    </w:p>
    <w:p w:rsidR="00C738AF" w:rsidRPr="00C738AF" w:rsidRDefault="00C738AF" w:rsidP="00C738AF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Заключение:</w:t>
      </w:r>
      <w:r w:rsidRPr="00C738AF">
        <w:rPr>
          <w:color w:val="0F1115"/>
          <w:sz w:val="28"/>
          <w:szCs w:val="28"/>
        </w:rPr>
        <w:t> </w:t>
      </w:r>
      <w:r w:rsidRPr="00C738AF">
        <w:rPr>
          <w:rStyle w:val="a3"/>
          <w:color w:val="0F1115"/>
          <w:sz w:val="28"/>
          <w:szCs w:val="28"/>
        </w:rPr>
        <w:t>«Соответствует»</w:t>
      </w:r>
      <w:r w:rsidRPr="00C738AF">
        <w:rPr>
          <w:color w:val="0F1115"/>
          <w:sz w:val="28"/>
          <w:szCs w:val="28"/>
        </w:rPr>
        <w:t>.</w:t>
      </w: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t xml:space="preserve">Задание </w:t>
      </w:r>
      <w:r w:rsidR="00C738AF" w:rsidRPr="00C738AF">
        <w:rPr>
          <w:rStyle w:val="a3"/>
          <w:b/>
          <w:bCs/>
          <w:color w:val="0F1115"/>
          <w:sz w:val="28"/>
          <w:szCs w:val="28"/>
        </w:rPr>
        <w:t>5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Перечень элементов и проверка УГО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rStyle w:val="a3"/>
          <w:color w:val="0F1115"/>
          <w:sz w:val="28"/>
          <w:szCs w:val="28"/>
        </w:rPr>
        <w:t>Перечень элементов</w:t>
      </w:r>
      <w:r w:rsidRPr="00C738AF">
        <w:rPr>
          <w:rStyle w:val="a3"/>
          <w:color w:val="0F1115"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047"/>
        <w:gridCol w:w="888"/>
        <w:gridCol w:w="2909"/>
      </w:tblGrid>
      <w:tr w:rsidR="00C738AF" w:rsidRPr="00C738AF" w:rsidTr="009A7E27">
        <w:trPr>
          <w:trHeight w:val="529"/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Поз</w:t>
            </w:r>
            <w:proofErr w:type="gramStart"/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proofErr w:type="gramEnd"/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proofErr w:type="gramEnd"/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бозначение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Кол.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C738AF" w:rsidRPr="00C738AF" w:rsidTr="009A7E27">
        <w:trPr>
          <w:trHeight w:val="557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R1, R3, R5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Резистор ЭФО ОКВЭ 0.1258m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Требуется уточнение номиналов</w:t>
            </w: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Резистор переменный 0.1258m (ПЗ-4А)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AF" w:rsidRPr="00C738AF" w:rsidTr="009A7E27">
        <w:trPr>
          <w:trHeight w:val="695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R4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Резистор переменный 0.5№2м (БКТ-КХХХ)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C1-C4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Конденсаторы герметичные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Разные номиналы</w:t>
            </w: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C5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 xml:space="preserve">Конденсатор </w:t>
            </w:r>
            <w:proofErr w:type="spellStart"/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полновой</w:t>
            </w:r>
            <w:proofErr w:type="spellEnd"/>
            <w:r w:rsidRPr="00C738AF">
              <w:rPr>
                <w:rFonts w:ascii="Times New Roman" w:hAnsi="Times New Roman" w:cs="Times New Roman"/>
                <w:sz w:val="20"/>
                <w:szCs w:val="20"/>
              </w:rPr>
              <w:t xml:space="preserve"> ЭФО </w:t>
            </w:r>
            <w:proofErr w:type="spellStart"/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ЮжнФ</w:t>
            </w:r>
            <w:proofErr w:type="spellEnd"/>
            <w:r w:rsidRPr="00C738AF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VD1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Диод МББ226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I01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Зеленая логическая ЭМИН-НЕ-А 456/КЕЗ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Нестандартное обозначение</w:t>
            </w: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D41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Следующая вертикальная НУВТ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Нестандартное обозначение</w:t>
            </w:r>
          </w:p>
        </w:tc>
      </w:tr>
      <w:tr w:rsidR="00C738AF" w:rsidRPr="00C738AF" w:rsidTr="00C73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XYX2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Разъем накопленный KLS+ДС-015A-20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8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738AF" w:rsidRPr="00C738AF" w:rsidRDefault="00C738AF" w:rsidP="00C738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738AF" w:rsidRPr="00C738AF" w:rsidRDefault="00C738AF" w:rsidP="00C738AF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Проверка УГО:</w:t>
      </w:r>
    </w:p>
    <w:p w:rsidR="00C738AF" w:rsidRP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lastRenderedPageBreak/>
        <w:t>Нарушение 1:</w:t>
      </w:r>
      <w:r w:rsidRPr="00C738AF">
        <w:rPr>
          <w:color w:val="0F1115"/>
          <w:sz w:val="28"/>
          <w:szCs w:val="28"/>
        </w:rPr>
        <w:t> Нестандартные обозначения "I01", "D41".</w:t>
      </w:r>
    </w:p>
    <w:p w:rsidR="00C738AF" w:rsidRP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Нарушение 2:</w:t>
      </w:r>
      <w:r w:rsidRPr="00C738AF">
        <w:rPr>
          <w:color w:val="0F1115"/>
          <w:sz w:val="28"/>
          <w:szCs w:val="28"/>
        </w:rPr>
        <w:t> В наименованиях элементов присутствуют орфографические ошибки ("героической" вместо "герметичный", "</w:t>
      </w:r>
      <w:proofErr w:type="spellStart"/>
      <w:r w:rsidRPr="00C738AF">
        <w:rPr>
          <w:color w:val="0F1115"/>
          <w:sz w:val="28"/>
          <w:szCs w:val="28"/>
        </w:rPr>
        <w:t>дюй</w:t>
      </w:r>
      <w:proofErr w:type="spellEnd"/>
      <w:r w:rsidRPr="00C738AF">
        <w:rPr>
          <w:color w:val="0F1115"/>
          <w:sz w:val="28"/>
          <w:szCs w:val="28"/>
        </w:rPr>
        <w:t>" вместо "диод").</w:t>
      </w:r>
    </w:p>
    <w:p w:rsid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Нарушен ГОСТ 2.701-2008</w:t>
      </w:r>
      <w:r w:rsidRPr="00C738AF">
        <w:rPr>
          <w:color w:val="0F1115"/>
          <w:sz w:val="28"/>
          <w:szCs w:val="28"/>
        </w:rPr>
        <w:t> - требования к однозначности обозначений.</w:t>
      </w:r>
    </w:p>
    <w:p w:rsidR="009A7E27" w:rsidRPr="00C738AF" w:rsidRDefault="009A7E27" w:rsidP="009A7E27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:rsidR="00C738AF" w:rsidRPr="00C738AF" w:rsidRDefault="00C738AF" w:rsidP="00C738AF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Правильное решение:</w:t>
      </w:r>
    </w:p>
    <w:p w:rsidR="00C738AF" w:rsidRP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Заменить "I01" на "HL1" (индикатор)</w:t>
      </w:r>
    </w:p>
    <w:p w:rsidR="00C738AF" w:rsidRP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Заменить "D41" на соответствующее стандартное обозначение</w:t>
      </w:r>
    </w:p>
    <w:p w:rsidR="00C738AF" w:rsidRPr="00C738AF" w:rsidRDefault="00C738AF" w:rsidP="00C738AF">
      <w:pPr>
        <w:pStyle w:val="ds-markdown-paragraph"/>
        <w:numPr>
          <w:ilvl w:val="1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Исправить орфографические ошибки в наименованиях</w:t>
      </w:r>
    </w:p>
    <w:p w:rsidR="00C738AF" w:rsidRPr="00C738AF" w:rsidRDefault="009A7E27" w:rsidP="00C738AF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rStyle w:val="a3"/>
          <w:b/>
          <w:bCs/>
          <w:color w:val="0F1115"/>
          <w:sz w:val="28"/>
          <w:szCs w:val="28"/>
        </w:rPr>
        <w:t xml:space="preserve">Задание </w:t>
      </w:r>
      <w:r w:rsidR="00C738AF" w:rsidRPr="00C738AF">
        <w:rPr>
          <w:rStyle w:val="a3"/>
          <w:b/>
          <w:bCs/>
          <w:color w:val="0F1115"/>
          <w:sz w:val="28"/>
          <w:szCs w:val="28"/>
        </w:rPr>
        <w:t>6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Анализ правильности оформления перечня элементов</w:t>
      </w:r>
    </w:p>
    <w:p w:rsidR="00C738AF" w:rsidRPr="009A7E27" w:rsidRDefault="00C738AF" w:rsidP="00C738AF">
      <w:pPr>
        <w:pStyle w:val="ds-markdown-paragraph"/>
        <w:numPr>
          <w:ilvl w:val="0"/>
          <w:numId w:val="14"/>
        </w:numPr>
        <w:shd w:val="clear" w:color="auto" w:fill="FFFFFF"/>
        <w:spacing w:after="120" w:afterAutospacing="0"/>
        <w:ind w:left="0"/>
        <w:rPr>
          <w:b/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Порядок расположения элементов: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Требование:</w:t>
      </w:r>
      <w:r w:rsidRPr="00C738AF">
        <w:rPr>
          <w:color w:val="0F1115"/>
          <w:sz w:val="28"/>
          <w:szCs w:val="28"/>
        </w:rPr>
        <w:t> Группировка по типам элементов в алфавитном порядке позиционных обозначений.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В перечне нарушен порядок расположения элементов.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Заключение: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rStyle w:val="a3"/>
          <w:b w:val="0"/>
          <w:color w:val="0F1115"/>
          <w:sz w:val="28"/>
          <w:szCs w:val="28"/>
        </w:rPr>
        <w:t>«Нарушение»</w:t>
      </w:r>
      <w:r w:rsidRPr="00C738AF">
        <w:rPr>
          <w:color w:val="0F1115"/>
          <w:sz w:val="28"/>
          <w:szCs w:val="28"/>
        </w:rPr>
        <w:t> - элементы должны быть сгруппированы по типам (резисторы, конденсаторы, диоды и т.д.).</w:t>
      </w:r>
    </w:p>
    <w:p w:rsidR="00C738AF" w:rsidRPr="00C738AF" w:rsidRDefault="00C738AF" w:rsidP="00C738AF">
      <w:pPr>
        <w:pStyle w:val="ds-markdown-paragraph"/>
        <w:numPr>
          <w:ilvl w:val="0"/>
          <w:numId w:val="14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Полнота сведений</w:t>
      </w:r>
      <w:r w:rsidRPr="00C738AF">
        <w:rPr>
          <w:rStyle w:val="a3"/>
          <w:color w:val="0F1115"/>
          <w:sz w:val="28"/>
          <w:szCs w:val="28"/>
        </w:rPr>
        <w:t>: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Требование:</w:t>
      </w:r>
      <w:r w:rsidRPr="00C738AF">
        <w:rPr>
          <w:color w:val="0F1115"/>
          <w:sz w:val="28"/>
          <w:szCs w:val="28"/>
        </w:rPr>
        <w:t> Указание типа, номинала и других характеристик.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738AF">
        <w:rPr>
          <w:rStyle w:val="a4"/>
          <w:color w:val="0F1115"/>
          <w:sz w:val="28"/>
          <w:szCs w:val="28"/>
        </w:rPr>
        <w:t>Проверка:</w:t>
      </w:r>
      <w:r w:rsidRPr="00C738AF">
        <w:rPr>
          <w:color w:val="0F1115"/>
          <w:sz w:val="28"/>
          <w:szCs w:val="28"/>
        </w:rPr>
        <w:t> В перечне указаны типы элементов, но номиналы указаны не для всех элементов.</w:t>
      </w:r>
    </w:p>
    <w:p w:rsidR="00C738AF" w:rsidRPr="00C738AF" w:rsidRDefault="00C738AF" w:rsidP="00C738AF">
      <w:pPr>
        <w:pStyle w:val="ds-markdown-paragraph"/>
        <w:numPr>
          <w:ilvl w:val="1"/>
          <w:numId w:val="1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Заключение: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rStyle w:val="a3"/>
          <w:b w:val="0"/>
          <w:color w:val="0F1115"/>
          <w:sz w:val="28"/>
          <w:szCs w:val="28"/>
        </w:rPr>
        <w:t>«Частичное соответствие»</w:t>
      </w:r>
      <w:r w:rsidRPr="00C738AF">
        <w:rPr>
          <w:color w:val="0F1115"/>
          <w:sz w:val="28"/>
          <w:szCs w:val="28"/>
        </w:rPr>
        <w:t> - требуется дополнение номиналов.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rStyle w:val="a3"/>
          <w:color w:val="0F1115"/>
          <w:sz w:val="28"/>
          <w:szCs w:val="28"/>
        </w:rPr>
        <w:t>Выводы по проделанной работе</w:t>
      </w:r>
    </w:p>
    <w:p w:rsidR="00C738AF" w:rsidRPr="00C738AF" w:rsidRDefault="00C738AF" w:rsidP="00C738A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738AF">
        <w:rPr>
          <w:color w:val="0F1115"/>
          <w:sz w:val="28"/>
          <w:szCs w:val="28"/>
        </w:rPr>
        <w:t>В ходе анализа принципиальной схемы "Генератор импульсов" выявлены следующие основные нарушения требований ЕСКД:</w:t>
      </w:r>
    </w:p>
    <w:p w:rsidR="00C738AF" w:rsidRPr="009A7E27" w:rsidRDefault="00C738AF" w:rsidP="00C738AF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b/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Основная надпись заполнена не полностью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color w:val="0F1115"/>
          <w:sz w:val="28"/>
          <w:szCs w:val="28"/>
        </w:rPr>
        <w:t>(ГОСТ 2.104-2006)</w:t>
      </w:r>
    </w:p>
    <w:p w:rsidR="00C738AF" w:rsidRPr="009A7E27" w:rsidRDefault="00C738AF" w:rsidP="00C738AF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b/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Нестандартные позиционные обозначения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color w:val="0F1115"/>
          <w:sz w:val="28"/>
          <w:szCs w:val="28"/>
        </w:rPr>
        <w:t>"I01", "D41" (ГОСТ 2.710-81)</w:t>
      </w:r>
    </w:p>
    <w:p w:rsidR="00C738AF" w:rsidRPr="009A7E27" w:rsidRDefault="00C738AF" w:rsidP="00C738AF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b/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Нарушен порядок расположения элементов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color w:val="0F1115"/>
          <w:sz w:val="28"/>
          <w:szCs w:val="28"/>
        </w:rPr>
        <w:t>в перечне</w:t>
      </w:r>
    </w:p>
    <w:p w:rsidR="00C738AF" w:rsidRPr="009A7E27" w:rsidRDefault="00C738AF" w:rsidP="00C738AF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Орфографические ошибки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color w:val="0F1115"/>
          <w:sz w:val="28"/>
          <w:szCs w:val="28"/>
        </w:rPr>
        <w:t>в наименованиях элементов</w:t>
      </w:r>
    </w:p>
    <w:p w:rsidR="00C738AF" w:rsidRPr="009A7E27" w:rsidRDefault="00C738AF" w:rsidP="00C738AF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b/>
          <w:color w:val="0F1115"/>
          <w:sz w:val="28"/>
          <w:szCs w:val="28"/>
        </w:rPr>
      </w:pPr>
      <w:r w:rsidRPr="009A7E27">
        <w:rPr>
          <w:rStyle w:val="a3"/>
          <w:b w:val="0"/>
          <w:color w:val="0F1115"/>
          <w:sz w:val="28"/>
          <w:szCs w:val="28"/>
        </w:rPr>
        <w:t>Неполное указание номиналов</w:t>
      </w:r>
      <w:r w:rsidRPr="009A7E27">
        <w:rPr>
          <w:b/>
          <w:color w:val="0F1115"/>
          <w:sz w:val="28"/>
          <w:szCs w:val="28"/>
        </w:rPr>
        <w:t> </w:t>
      </w:r>
      <w:r w:rsidRPr="009A7E27">
        <w:rPr>
          <w:color w:val="0F1115"/>
          <w:sz w:val="28"/>
          <w:szCs w:val="28"/>
        </w:rPr>
        <w:t>элементов</w:t>
      </w:r>
    </w:p>
    <w:p w:rsidR="00C738AF" w:rsidRPr="00F03710" w:rsidRDefault="00C738AF" w:rsidP="00C738AF"/>
    <w:sectPr w:rsidR="00C738AF" w:rsidRPr="00F0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E6" w:rsidRDefault="00553BE6" w:rsidP="0000567E">
      <w:pPr>
        <w:spacing w:after="0" w:line="240" w:lineRule="auto"/>
      </w:pPr>
      <w:r>
        <w:separator/>
      </w:r>
    </w:p>
  </w:endnote>
  <w:endnote w:type="continuationSeparator" w:id="0">
    <w:p w:rsidR="00553BE6" w:rsidRDefault="00553BE6" w:rsidP="0000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E6" w:rsidRDefault="00553BE6" w:rsidP="0000567E">
      <w:pPr>
        <w:spacing w:after="0" w:line="240" w:lineRule="auto"/>
      </w:pPr>
      <w:r>
        <w:separator/>
      </w:r>
    </w:p>
  </w:footnote>
  <w:footnote w:type="continuationSeparator" w:id="0">
    <w:p w:rsidR="00553BE6" w:rsidRDefault="00553BE6" w:rsidP="0000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7F5"/>
    <w:multiLevelType w:val="multilevel"/>
    <w:tmpl w:val="F81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C5814"/>
    <w:multiLevelType w:val="multilevel"/>
    <w:tmpl w:val="5A6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9570C"/>
    <w:multiLevelType w:val="multilevel"/>
    <w:tmpl w:val="7B8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10290"/>
    <w:multiLevelType w:val="multilevel"/>
    <w:tmpl w:val="FC50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D2FD4"/>
    <w:multiLevelType w:val="multilevel"/>
    <w:tmpl w:val="1CE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F02A9"/>
    <w:multiLevelType w:val="multilevel"/>
    <w:tmpl w:val="54E2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B0BBA"/>
    <w:multiLevelType w:val="multilevel"/>
    <w:tmpl w:val="3A26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3A53F6"/>
    <w:multiLevelType w:val="multilevel"/>
    <w:tmpl w:val="8FA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C10920"/>
    <w:multiLevelType w:val="multilevel"/>
    <w:tmpl w:val="A3A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74B"/>
    <w:multiLevelType w:val="multilevel"/>
    <w:tmpl w:val="3690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785DAA"/>
    <w:multiLevelType w:val="multilevel"/>
    <w:tmpl w:val="0C0E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40995"/>
    <w:multiLevelType w:val="multilevel"/>
    <w:tmpl w:val="76A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0444A2"/>
    <w:multiLevelType w:val="multilevel"/>
    <w:tmpl w:val="7B0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E7013D"/>
    <w:multiLevelType w:val="multilevel"/>
    <w:tmpl w:val="5A10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1B76B3"/>
    <w:multiLevelType w:val="multilevel"/>
    <w:tmpl w:val="E7F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A20D64"/>
    <w:multiLevelType w:val="multilevel"/>
    <w:tmpl w:val="D268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5"/>
  </w:num>
  <w:num w:numId="11">
    <w:abstractNumId w:val="4"/>
  </w:num>
  <w:num w:numId="12">
    <w:abstractNumId w:val="10"/>
  </w:num>
  <w:num w:numId="13">
    <w:abstractNumId w:val="1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10"/>
    <w:rsid w:val="0000567E"/>
    <w:rsid w:val="00553BE6"/>
    <w:rsid w:val="00805A00"/>
    <w:rsid w:val="009A7E27"/>
    <w:rsid w:val="00C738AF"/>
    <w:rsid w:val="00F0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3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3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F0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3710"/>
    <w:rPr>
      <w:b/>
      <w:bCs/>
    </w:rPr>
  </w:style>
  <w:style w:type="character" w:styleId="a4">
    <w:name w:val="Emphasis"/>
    <w:basedOn w:val="a0"/>
    <w:uiPriority w:val="20"/>
    <w:qFormat/>
    <w:rsid w:val="00F03710"/>
    <w:rPr>
      <w:i/>
      <w:iCs/>
    </w:rPr>
  </w:style>
  <w:style w:type="character" w:styleId="HTML">
    <w:name w:val="HTML Code"/>
    <w:basedOn w:val="a0"/>
    <w:uiPriority w:val="99"/>
    <w:semiHidden/>
    <w:unhideWhenUsed/>
    <w:rsid w:val="00F0371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0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67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05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567E"/>
  </w:style>
  <w:style w:type="paragraph" w:styleId="a9">
    <w:name w:val="footer"/>
    <w:basedOn w:val="a"/>
    <w:link w:val="aa"/>
    <w:uiPriority w:val="99"/>
    <w:unhideWhenUsed/>
    <w:rsid w:val="00005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5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3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3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F0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3710"/>
    <w:rPr>
      <w:b/>
      <w:bCs/>
    </w:rPr>
  </w:style>
  <w:style w:type="character" w:styleId="a4">
    <w:name w:val="Emphasis"/>
    <w:basedOn w:val="a0"/>
    <w:uiPriority w:val="20"/>
    <w:qFormat/>
    <w:rsid w:val="00F03710"/>
    <w:rPr>
      <w:i/>
      <w:iCs/>
    </w:rPr>
  </w:style>
  <w:style w:type="character" w:styleId="HTML">
    <w:name w:val="HTML Code"/>
    <w:basedOn w:val="a0"/>
    <w:uiPriority w:val="99"/>
    <w:semiHidden/>
    <w:unhideWhenUsed/>
    <w:rsid w:val="00F0371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0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67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05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567E"/>
  </w:style>
  <w:style w:type="paragraph" w:styleId="a9">
    <w:name w:val="footer"/>
    <w:basedOn w:val="a"/>
    <w:link w:val="aa"/>
    <w:uiPriority w:val="99"/>
    <w:unhideWhenUsed/>
    <w:rsid w:val="00005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5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Сатурн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2</cp:revision>
  <dcterms:created xsi:type="dcterms:W3CDTF">2025-10-28T10:13:00Z</dcterms:created>
  <dcterms:modified xsi:type="dcterms:W3CDTF">2025-10-28T10:58:00Z</dcterms:modified>
</cp:coreProperties>
</file>