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D8222" w14:textId="5539055F" w:rsidR="002D4DB1" w:rsidRPr="002D4DB1" w:rsidRDefault="002D4DB1" w:rsidP="00233D98">
      <w:pPr>
        <w:spacing w:line="360" w:lineRule="auto"/>
        <w:jc w:val="both"/>
        <w:rPr>
          <w:b/>
          <w:bCs/>
        </w:rPr>
      </w:pPr>
      <w:r w:rsidRPr="002D4DB1">
        <w:rPr>
          <w:b/>
          <w:bCs/>
        </w:rPr>
        <w:t>Predicting Wildfire Damage in California:</w:t>
      </w:r>
    </w:p>
    <w:p w14:paraId="2FE61CE8" w14:textId="77777777" w:rsidR="002D4DB1" w:rsidRPr="002D4DB1" w:rsidRDefault="002D4DB1" w:rsidP="00233D98">
      <w:pPr>
        <w:spacing w:line="360" w:lineRule="auto"/>
        <w:jc w:val="both"/>
        <w:rPr>
          <w:b/>
          <w:bCs/>
        </w:rPr>
      </w:pPr>
      <w:r w:rsidRPr="002D4DB1">
        <w:rPr>
          <w:b/>
          <w:bCs/>
        </w:rPr>
        <w:t>Introduction</w:t>
      </w:r>
    </w:p>
    <w:p w14:paraId="2FC57732" w14:textId="4FEFB736" w:rsidR="002D4DB1" w:rsidRPr="002D4DB1" w:rsidRDefault="002D4DB1" w:rsidP="00233D98">
      <w:pPr>
        <w:spacing w:line="360" w:lineRule="auto"/>
        <w:jc w:val="both"/>
      </w:pPr>
      <w:r w:rsidRPr="002D4DB1">
        <w:t>This report presents a predictive model using machine learning techniques, specifically k-Nearest Neighbors (kNN) and Naïve Bayes, to estimate the probability of structural destruction (&gt;50% damage) due to wildfires.</w:t>
      </w:r>
      <w:r w:rsidR="00653966">
        <w:t xml:space="preserve"> </w:t>
      </w:r>
      <w:r w:rsidRPr="002D4DB1">
        <w:t>The dataset</w:t>
      </w:r>
      <w:r w:rsidR="00653966">
        <w:t xml:space="preserve"> used</w:t>
      </w:r>
      <w:r w:rsidRPr="002D4DB1">
        <w:t xml:space="preserve"> contains information on various property attributes, including year built, assessed value, construction materials, and geographic coordinates (latitude and longitude). </w:t>
      </w:r>
    </w:p>
    <w:p w14:paraId="07CAD40F" w14:textId="5C3C5812" w:rsidR="00233D98" w:rsidRPr="00233D98" w:rsidRDefault="00233D98" w:rsidP="00233D98">
      <w:pPr>
        <w:spacing w:line="360" w:lineRule="auto"/>
        <w:jc w:val="both"/>
        <w:rPr>
          <w:b/>
          <w:bCs/>
        </w:rPr>
      </w:pPr>
      <w:r w:rsidRPr="00233D98">
        <w:rPr>
          <w:b/>
          <w:bCs/>
        </w:rPr>
        <w:t>Data Preparation</w:t>
      </w:r>
    </w:p>
    <w:p w14:paraId="0B35F19C" w14:textId="0BB96861" w:rsidR="00233D98" w:rsidRPr="00233D98" w:rsidRDefault="00233D98" w:rsidP="00233D98">
      <w:pPr>
        <w:spacing w:line="360" w:lineRule="auto"/>
        <w:jc w:val="both"/>
        <w:rPr>
          <w:u w:val="single"/>
        </w:rPr>
      </w:pPr>
      <w:r w:rsidRPr="00233D98">
        <w:rPr>
          <w:u w:val="single"/>
        </w:rPr>
        <w:t>Handling Missing Data:</w:t>
      </w:r>
    </w:p>
    <w:p w14:paraId="2F829CF4" w14:textId="6934BC0B" w:rsidR="00233D98" w:rsidRPr="00233D98" w:rsidRDefault="00233D98" w:rsidP="005B3215">
      <w:pPr>
        <w:pStyle w:val="ListParagraph"/>
        <w:numPr>
          <w:ilvl w:val="0"/>
          <w:numId w:val="15"/>
        </w:numPr>
        <w:tabs>
          <w:tab w:val="num" w:pos="360"/>
        </w:tabs>
        <w:spacing w:line="360" w:lineRule="auto"/>
        <w:ind w:left="284"/>
        <w:jc w:val="both"/>
      </w:pPr>
      <w:r w:rsidRPr="00233D98">
        <w:t>Homes built before 1900 (10,621 entries) were removed due to inconsistent records</w:t>
      </w:r>
      <w:r w:rsidR="005B3215">
        <w:t xml:space="preserve">. </w:t>
      </w:r>
      <w:r w:rsidRPr="00233D98">
        <w:t xml:space="preserve">Most pre-1900 records had values of zero, making it unclear which year they </w:t>
      </w:r>
      <w:proofErr w:type="gramStart"/>
      <w:r w:rsidRPr="00233D98">
        <w:t>actually belonged</w:t>
      </w:r>
      <w:proofErr w:type="gramEnd"/>
      <w:r w:rsidRPr="00233D98">
        <w:t xml:space="preserve"> to. However, the observed damage rate for these entries was lower than for post-1900 structures. Given that lower-damage data might lead to underestimation of fire risks, excluding them helps ensure a more cautious predictive approach.</w:t>
      </w:r>
    </w:p>
    <w:p w14:paraId="40CC07B8" w14:textId="77777777" w:rsidR="00233D98" w:rsidRPr="00233D98" w:rsidRDefault="00233D98" w:rsidP="005B3215">
      <w:pPr>
        <w:pStyle w:val="ListParagraph"/>
        <w:numPr>
          <w:ilvl w:val="0"/>
          <w:numId w:val="15"/>
        </w:numPr>
        <w:tabs>
          <w:tab w:val="num" w:pos="360"/>
        </w:tabs>
        <w:spacing w:line="360" w:lineRule="auto"/>
        <w:ind w:left="284"/>
        <w:jc w:val="both"/>
      </w:pPr>
      <w:r w:rsidRPr="00233D98">
        <w:t xml:space="preserve">Missing values in </w:t>
      </w:r>
      <w:proofErr w:type="gramStart"/>
      <w:r w:rsidRPr="00233D98">
        <w:t>year</w:t>
      </w:r>
      <w:proofErr w:type="gramEnd"/>
      <w:r w:rsidRPr="00233D98">
        <w:t xml:space="preserve"> built were imputed using the median of post-1900 homes because the damage rate for missing values was </w:t>
      </w:r>
      <w:proofErr w:type="gramStart"/>
      <w:r w:rsidRPr="00233D98">
        <w:t>similar to</w:t>
      </w:r>
      <w:proofErr w:type="gramEnd"/>
      <w:r w:rsidRPr="00233D98">
        <w:t xml:space="preserve"> that of post-1900 structures.</w:t>
      </w:r>
    </w:p>
    <w:p w14:paraId="6E50F7D5" w14:textId="77777777" w:rsidR="00233D98" w:rsidRPr="00233D98" w:rsidRDefault="00233D98" w:rsidP="005B3215">
      <w:pPr>
        <w:pStyle w:val="ListParagraph"/>
        <w:numPr>
          <w:ilvl w:val="0"/>
          <w:numId w:val="15"/>
        </w:numPr>
        <w:tabs>
          <w:tab w:val="num" w:pos="360"/>
        </w:tabs>
        <w:spacing w:line="360" w:lineRule="auto"/>
        <w:ind w:left="284"/>
        <w:jc w:val="both"/>
      </w:pPr>
      <w:r w:rsidRPr="00233D98">
        <w:t>Assessed value had minor missing values (~6%) and was dropped to avoid imputation bias.</w:t>
      </w:r>
    </w:p>
    <w:p w14:paraId="334085FD" w14:textId="77777777" w:rsidR="00233D98" w:rsidRPr="00233D98" w:rsidRDefault="00233D98" w:rsidP="005B3215">
      <w:pPr>
        <w:pStyle w:val="ListParagraph"/>
        <w:numPr>
          <w:ilvl w:val="0"/>
          <w:numId w:val="15"/>
        </w:numPr>
        <w:tabs>
          <w:tab w:val="num" w:pos="360"/>
        </w:tabs>
        <w:spacing w:line="360" w:lineRule="auto"/>
        <w:ind w:left="284"/>
        <w:jc w:val="both"/>
      </w:pPr>
      <w:r w:rsidRPr="00233D98">
        <w:t>The county feature was excluded from the model but used for visualization.</w:t>
      </w:r>
    </w:p>
    <w:p w14:paraId="4D610C0F" w14:textId="419B2501" w:rsidR="00233D98" w:rsidRPr="00233D98" w:rsidRDefault="00233D98" w:rsidP="005B3215">
      <w:pPr>
        <w:pStyle w:val="ListParagraph"/>
        <w:numPr>
          <w:ilvl w:val="0"/>
          <w:numId w:val="15"/>
        </w:numPr>
        <w:tabs>
          <w:tab w:val="num" w:pos="360"/>
        </w:tabs>
        <w:spacing w:line="360" w:lineRule="auto"/>
        <w:ind w:left="284"/>
        <w:jc w:val="both"/>
      </w:pPr>
      <w:r w:rsidRPr="00233D98">
        <w:t>The "unknown" category was retained in categorical variables</w:t>
      </w:r>
      <w:r w:rsidR="005B3215">
        <w:t xml:space="preserve"> like </w:t>
      </w:r>
      <w:r w:rsidR="005B3215" w:rsidRPr="00233D98">
        <w:t>roof construction and exterior siding</w:t>
      </w:r>
      <w:r w:rsidRPr="00233D98">
        <w:t xml:space="preserve"> because its damage rate was </w:t>
      </w:r>
      <w:proofErr w:type="gramStart"/>
      <w:r w:rsidRPr="00233D98">
        <w:t>similar to</w:t>
      </w:r>
      <w:proofErr w:type="gramEnd"/>
      <w:r w:rsidRPr="00233D98">
        <w:t xml:space="preserve"> materials </w:t>
      </w:r>
      <w:r w:rsidR="00653966">
        <w:t>with damage rates in the lower end</w:t>
      </w:r>
      <w:r w:rsidRPr="00233D98">
        <w:t>, indicating it carried useful information rather than being pure noise.</w:t>
      </w:r>
    </w:p>
    <w:p w14:paraId="1F186A6D" w14:textId="0E8126C7" w:rsidR="00233D98" w:rsidRPr="00233D98" w:rsidRDefault="00233D98" w:rsidP="00233D98">
      <w:pPr>
        <w:spacing w:line="360" w:lineRule="auto"/>
        <w:jc w:val="both"/>
        <w:rPr>
          <w:u w:val="single"/>
        </w:rPr>
      </w:pPr>
      <w:r w:rsidRPr="00233D98">
        <w:rPr>
          <w:u w:val="single"/>
        </w:rPr>
        <w:t>Feature</w:t>
      </w:r>
      <w:r w:rsidR="00361F34">
        <w:rPr>
          <w:u w:val="single"/>
        </w:rPr>
        <w:t>s used</w:t>
      </w:r>
      <w:r w:rsidRPr="00233D98">
        <w:rPr>
          <w:u w:val="single"/>
        </w:rPr>
        <w:t>:</w:t>
      </w:r>
    </w:p>
    <w:p w14:paraId="06B79C50" w14:textId="77777777" w:rsidR="00233D98" w:rsidRPr="00233D98" w:rsidRDefault="00233D98" w:rsidP="005B3215">
      <w:pPr>
        <w:pStyle w:val="ListParagraph"/>
        <w:numPr>
          <w:ilvl w:val="0"/>
          <w:numId w:val="15"/>
        </w:numPr>
        <w:tabs>
          <w:tab w:val="num" w:pos="360"/>
        </w:tabs>
        <w:spacing w:line="360" w:lineRule="auto"/>
        <w:ind w:left="284"/>
        <w:jc w:val="both"/>
      </w:pPr>
      <w:r w:rsidRPr="00233D98">
        <w:t>Features were selected using Mutual Information (MI), which measures how much information a feature contributes to predicting wildfire damage.</w:t>
      </w:r>
    </w:p>
    <w:p w14:paraId="4CF44BD4" w14:textId="77777777" w:rsidR="00233D98" w:rsidRPr="00233D98" w:rsidRDefault="00233D98" w:rsidP="005B3215">
      <w:pPr>
        <w:pStyle w:val="ListParagraph"/>
        <w:numPr>
          <w:ilvl w:val="0"/>
          <w:numId w:val="15"/>
        </w:numPr>
        <w:tabs>
          <w:tab w:val="num" w:pos="360"/>
        </w:tabs>
        <w:spacing w:line="360" w:lineRule="auto"/>
        <w:ind w:left="284"/>
        <w:jc w:val="both"/>
      </w:pPr>
      <w:r w:rsidRPr="00233D98">
        <w:t>The top two features with the highest MI scores—roof construction and exterior siding—were chosen, as they had strong predictive power for fire damage.</w:t>
      </w:r>
    </w:p>
    <w:p w14:paraId="530DE8A5" w14:textId="77777777" w:rsidR="00233D98" w:rsidRPr="00233D98" w:rsidRDefault="00233D98" w:rsidP="005B3215">
      <w:pPr>
        <w:pStyle w:val="ListParagraph"/>
        <w:numPr>
          <w:ilvl w:val="0"/>
          <w:numId w:val="15"/>
        </w:numPr>
        <w:tabs>
          <w:tab w:val="num" w:pos="360"/>
        </w:tabs>
        <w:spacing w:line="360" w:lineRule="auto"/>
        <w:ind w:left="284"/>
        <w:jc w:val="both"/>
      </w:pPr>
      <w:r w:rsidRPr="00233D98">
        <w:t>These features had moderate missing values, making them a balanced choice between informativeness and data availability.</w:t>
      </w:r>
    </w:p>
    <w:p w14:paraId="57A2D99B" w14:textId="77777777" w:rsidR="00233D98" w:rsidRPr="00233D98" w:rsidRDefault="00233D98" w:rsidP="005B3215">
      <w:pPr>
        <w:pStyle w:val="ListParagraph"/>
        <w:numPr>
          <w:ilvl w:val="0"/>
          <w:numId w:val="15"/>
        </w:numPr>
        <w:tabs>
          <w:tab w:val="num" w:pos="360"/>
        </w:tabs>
        <w:spacing w:line="360" w:lineRule="auto"/>
        <w:ind w:left="284"/>
        <w:jc w:val="both"/>
      </w:pPr>
      <w:r w:rsidRPr="00233D98">
        <w:t>The final feature set was selected to maximize predictive power while minimizing the impact of missing values, ensuring that key structural characteristics influencing fire risk were retained.</w:t>
      </w:r>
    </w:p>
    <w:p w14:paraId="1D82FD15" w14:textId="264D5C2A" w:rsidR="00233D98" w:rsidRPr="00233D98" w:rsidRDefault="00233D98" w:rsidP="005B3215">
      <w:pPr>
        <w:pStyle w:val="ListParagraph"/>
        <w:numPr>
          <w:ilvl w:val="0"/>
          <w:numId w:val="15"/>
        </w:numPr>
        <w:tabs>
          <w:tab w:val="num" w:pos="360"/>
        </w:tabs>
        <w:spacing w:line="360" w:lineRule="auto"/>
        <w:ind w:left="284"/>
        <w:jc w:val="both"/>
      </w:pPr>
      <w:r w:rsidRPr="00233D98">
        <w:t>Categorical variables were converted into numerical representations using one-hot encoding.</w:t>
      </w:r>
    </w:p>
    <w:p w14:paraId="4533C613" w14:textId="77777777" w:rsidR="00233D98" w:rsidRPr="00233D98" w:rsidRDefault="00233D98" w:rsidP="005B3215">
      <w:pPr>
        <w:pStyle w:val="ListParagraph"/>
        <w:numPr>
          <w:ilvl w:val="0"/>
          <w:numId w:val="15"/>
        </w:numPr>
        <w:tabs>
          <w:tab w:val="num" w:pos="360"/>
        </w:tabs>
        <w:spacing w:line="360" w:lineRule="auto"/>
        <w:ind w:left="284"/>
        <w:jc w:val="both"/>
      </w:pPr>
      <w:r w:rsidRPr="00233D98">
        <w:t>The dataset was normalized to ensure consistency in scale, particularly for numerical variables.</w:t>
      </w:r>
    </w:p>
    <w:p w14:paraId="6E42B0A0" w14:textId="284FE12E" w:rsidR="00233D98" w:rsidRPr="00233D98" w:rsidRDefault="00653966" w:rsidP="00233D98">
      <w:pPr>
        <w:spacing w:line="360" w:lineRule="auto"/>
        <w:jc w:val="both"/>
        <w:rPr>
          <w:b/>
          <w:bCs/>
        </w:rPr>
      </w:pPr>
      <w:r>
        <w:rPr>
          <w:b/>
          <w:bCs/>
        </w:rPr>
        <w:t>Model methodology and results</w:t>
      </w:r>
    </w:p>
    <w:p w14:paraId="0F7ECF48" w14:textId="77777777" w:rsidR="00233D98" w:rsidRPr="00233D98" w:rsidRDefault="00233D98" w:rsidP="005B3215">
      <w:pPr>
        <w:pStyle w:val="ListParagraph"/>
        <w:numPr>
          <w:ilvl w:val="0"/>
          <w:numId w:val="15"/>
        </w:numPr>
        <w:tabs>
          <w:tab w:val="num" w:pos="360"/>
        </w:tabs>
        <w:spacing w:line="360" w:lineRule="auto"/>
        <w:ind w:left="284"/>
        <w:jc w:val="both"/>
      </w:pPr>
      <w:r w:rsidRPr="00233D98">
        <w:t>We compared two classification models to predict wildfire damage:</w:t>
      </w:r>
    </w:p>
    <w:p w14:paraId="0EE2B907" w14:textId="77777777" w:rsidR="00233D98" w:rsidRPr="00233D98" w:rsidRDefault="00233D98" w:rsidP="005B3215">
      <w:pPr>
        <w:pStyle w:val="ListParagraph"/>
        <w:numPr>
          <w:ilvl w:val="0"/>
          <w:numId w:val="15"/>
        </w:numPr>
        <w:tabs>
          <w:tab w:val="num" w:pos="360"/>
        </w:tabs>
        <w:spacing w:line="360" w:lineRule="auto"/>
        <w:ind w:left="284"/>
        <w:jc w:val="both"/>
      </w:pPr>
      <w:r w:rsidRPr="00233D98">
        <w:t>Naïve Bayes Classifier – A probabilistic model assuming feature independence.</w:t>
      </w:r>
    </w:p>
    <w:p w14:paraId="2AE0FA0A" w14:textId="77777777" w:rsidR="00233D98" w:rsidRPr="00233D98" w:rsidRDefault="00233D98" w:rsidP="005B3215">
      <w:pPr>
        <w:pStyle w:val="ListParagraph"/>
        <w:numPr>
          <w:ilvl w:val="0"/>
          <w:numId w:val="15"/>
        </w:numPr>
        <w:tabs>
          <w:tab w:val="num" w:pos="360"/>
        </w:tabs>
        <w:spacing w:line="360" w:lineRule="auto"/>
        <w:ind w:left="284"/>
        <w:jc w:val="both"/>
      </w:pPr>
      <w:r w:rsidRPr="00233D98">
        <w:t>k-Nearest Neighbors (kNN) – A distance-based model that classifies homes based on similar neighbors.</w:t>
      </w:r>
    </w:p>
    <w:p w14:paraId="59825579" w14:textId="496A7AD2" w:rsidR="00233D98" w:rsidRDefault="00233D98" w:rsidP="005B3215">
      <w:pPr>
        <w:pStyle w:val="ListParagraph"/>
        <w:numPr>
          <w:ilvl w:val="0"/>
          <w:numId w:val="15"/>
        </w:numPr>
        <w:tabs>
          <w:tab w:val="num" w:pos="360"/>
        </w:tabs>
        <w:spacing w:line="360" w:lineRule="auto"/>
        <w:ind w:left="284"/>
        <w:jc w:val="both"/>
      </w:pPr>
      <w:r w:rsidRPr="00233D98">
        <w:lastRenderedPageBreak/>
        <w:t>The dataset was split into 70% training and 30% test data. Cross-validation was applied using a k-fold approach</w:t>
      </w:r>
      <w:r w:rsidR="00D94E0A">
        <w:t xml:space="preserve"> -</w:t>
      </w:r>
      <w:r w:rsidRPr="00233D98">
        <w:t xml:space="preserve"> systematically splitting the training dataset into multiple training and validation subsets. This process allowed every data point to be used for both training and validation at some point, reducing bias and increasing generalization. The 30% test set was held out for final evaluation.</w:t>
      </w:r>
    </w:p>
    <w:p w14:paraId="1B2AC752" w14:textId="18824B93" w:rsidR="00233D98" w:rsidRPr="00233D98" w:rsidRDefault="005B3215" w:rsidP="00D94E0A">
      <w:pPr>
        <w:pStyle w:val="ListParagraph"/>
        <w:numPr>
          <w:ilvl w:val="0"/>
          <w:numId w:val="15"/>
        </w:numPr>
        <w:tabs>
          <w:tab w:val="num" w:pos="360"/>
        </w:tabs>
        <w:spacing w:line="360" w:lineRule="auto"/>
        <w:ind w:left="284"/>
        <w:jc w:val="both"/>
      </w:pPr>
      <w:r w:rsidRPr="00233D98">
        <w:t>The optimal k-value (number of neighbors) was determined as 18 using cross-validation, ensuring the best balance between bias and variance.</w:t>
      </w:r>
    </w:p>
    <w:tbl>
      <w:tblPr>
        <w:tblW w:w="10632" w:type="dxa"/>
        <w:tblCellSpacing w:w="15" w:type="dxa"/>
        <w:tblCellMar>
          <w:top w:w="15" w:type="dxa"/>
          <w:left w:w="15" w:type="dxa"/>
          <w:bottom w:w="15" w:type="dxa"/>
          <w:right w:w="15" w:type="dxa"/>
        </w:tblCellMar>
        <w:tblLook w:val="04A0" w:firstRow="1" w:lastRow="0" w:firstColumn="1" w:lastColumn="0" w:noHBand="0" w:noVBand="1"/>
      </w:tblPr>
      <w:tblGrid>
        <w:gridCol w:w="1701"/>
        <w:gridCol w:w="993"/>
        <w:gridCol w:w="850"/>
        <w:gridCol w:w="7088"/>
      </w:tblGrid>
      <w:tr w:rsidR="00D94E0A" w:rsidRPr="00233D98" w14:paraId="3CE4178C" w14:textId="0ED11A68" w:rsidTr="00653966">
        <w:trPr>
          <w:trHeight w:val="759"/>
          <w:tblCellSpacing w:w="15" w:type="dxa"/>
        </w:trPr>
        <w:tc>
          <w:tcPr>
            <w:tcW w:w="1656" w:type="dxa"/>
            <w:vAlign w:val="center"/>
            <w:hideMark/>
          </w:tcPr>
          <w:p w14:paraId="532D4352" w14:textId="77777777" w:rsidR="00D94E0A" w:rsidRPr="00233D98" w:rsidRDefault="00D94E0A" w:rsidP="00653966">
            <w:pPr>
              <w:spacing w:after="0" w:line="360" w:lineRule="auto"/>
              <w:jc w:val="center"/>
              <w:rPr>
                <w:b/>
                <w:bCs/>
              </w:rPr>
            </w:pPr>
            <w:r w:rsidRPr="00233D98">
              <w:rPr>
                <w:b/>
                <w:bCs/>
              </w:rPr>
              <w:t>Metric</w:t>
            </w:r>
          </w:p>
        </w:tc>
        <w:tc>
          <w:tcPr>
            <w:tcW w:w="963" w:type="dxa"/>
            <w:vAlign w:val="center"/>
            <w:hideMark/>
          </w:tcPr>
          <w:p w14:paraId="0A7C72EA" w14:textId="77777777" w:rsidR="00D94E0A" w:rsidRPr="00233D98" w:rsidRDefault="00D94E0A" w:rsidP="00653966">
            <w:pPr>
              <w:spacing w:after="0" w:line="360" w:lineRule="auto"/>
              <w:jc w:val="center"/>
              <w:rPr>
                <w:b/>
                <w:bCs/>
              </w:rPr>
            </w:pPr>
            <w:r w:rsidRPr="00233D98">
              <w:rPr>
                <w:b/>
                <w:bCs/>
              </w:rPr>
              <w:t>kNN</w:t>
            </w:r>
          </w:p>
        </w:tc>
        <w:tc>
          <w:tcPr>
            <w:tcW w:w="820" w:type="dxa"/>
            <w:vAlign w:val="center"/>
            <w:hideMark/>
          </w:tcPr>
          <w:p w14:paraId="6351317B" w14:textId="77777777" w:rsidR="00D94E0A" w:rsidRPr="00233D98" w:rsidRDefault="00D94E0A" w:rsidP="00653966">
            <w:pPr>
              <w:spacing w:after="0" w:line="360" w:lineRule="auto"/>
              <w:jc w:val="center"/>
              <w:rPr>
                <w:b/>
                <w:bCs/>
              </w:rPr>
            </w:pPr>
            <w:r w:rsidRPr="00233D98">
              <w:rPr>
                <w:b/>
                <w:bCs/>
              </w:rPr>
              <w:t>Naïve Bayes</w:t>
            </w:r>
          </w:p>
        </w:tc>
        <w:tc>
          <w:tcPr>
            <w:tcW w:w="7043" w:type="dxa"/>
          </w:tcPr>
          <w:p w14:paraId="06EEBE68" w14:textId="0DE3F86E" w:rsidR="00D94E0A" w:rsidRPr="00D94E0A" w:rsidRDefault="00D94E0A" w:rsidP="00653966">
            <w:pPr>
              <w:spacing w:after="0" w:line="360" w:lineRule="auto"/>
              <w:jc w:val="center"/>
              <w:rPr>
                <w:b/>
                <w:bCs/>
              </w:rPr>
            </w:pPr>
            <w:r w:rsidRPr="00D94E0A">
              <w:rPr>
                <w:b/>
                <w:bCs/>
              </w:rPr>
              <w:t>Explanation</w:t>
            </w:r>
          </w:p>
        </w:tc>
      </w:tr>
      <w:tr w:rsidR="00D94E0A" w:rsidRPr="00233D98" w14:paraId="51E9820F" w14:textId="100B5F38" w:rsidTr="00653966">
        <w:trPr>
          <w:tblCellSpacing w:w="15" w:type="dxa"/>
        </w:trPr>
        <w:tc>
          <w:tcPr>
            <w:tcW w:w="1656" w:type="dxa"/>
            <w:vAlign w:val="center"/>
            <w:hideMark/>
          </w:tcPr>
          <w:p w14:paraId="156823DD" w14:textId="77777777" w:rsidR="00D94E0A" w:rsidRPr="00233D98" w:rsidRDefault="00D94E0A" w:rsidP="00653966">
            <w:pPr>
              <w:spacing w:after="0" w:line="360" w:lineRule="auto"/>
            </w:pPr>
            <w:r w:rsidRPr="00233D98">
              <w:t>Accuracy</w:t>
            </w:r>
          </w:p>
        </w:tc>
        <w:tc>
          <w:tcPr>
            <w:tcW w:w="963" w:type="dxa"/>
            <w:vAlign w:val="center"/>
            <w:hideMark/>
          </w:tcPr>
          <w:p w14:paraId="57348C22" w14:textId="77777777" w:rsidR="00D94E0A" w:rsidRPr="00233D98" w:rsidRDefault="00D94E0A" w:rsidP="00653966">
            <w:pPr>
              <w:spacing w:after="0" w:line="360" w:lineRule="auto"/>
              <w:jc w:val="both"/>
            </w:pPr>
            <w:r w:rsidRPr="00233D98">
              <w:t>87%</w:t>
            </w:r>
          </w:p>
        </w:tc>
        <w:tc>
          <w:tcPr>
            <w:tcW w:w="820" w:type="dxa"/>
            <w:vAlign w:val="center"/>
            <w:hideMark/>
          </w:tcPr>
          <w:p w14:paraId="15F0CCB2" w14:textId="77777777" w:rsidR="00D94E0A" w:rsidRPr="00233D98" w:rsidRDefault="00D94E0A" w:rsidP="00653966">
            <w:pPr>
              <w:spacing w:after="0" w:line="360" w:lineRule="auto"/>
              <w:jc w:val="both"/>
            </w:pPr>
            <w:r w:rsidRPr="00233D98">
              <w:t>77%</w:t>
            </w:r>
          </w:p>
        </w:tc>
        <w:tc>
          <w:tcPr>
            <w:tcW w:w="7043" w:type="dxa"/>
          </w:tcPr>
          <w:p w14:paraId="1F50AD1B" w14:textId="0736EC9C" w:rsidR="00D94E0A" w:rsidRPr="00D94E0A" w:rsidRDefault="00D94E0A" w:rsidP="00653966">
            <w:pPr>
              <w:spacing w:after="0" w:line="360" w:lineRule="auto"/>
              <w:jc w:val="both"/>
            </w:pPr>
            <w:r w:rsidRPr="00D94E0A">
              <w:t>Percentage of all predictions (damaged and non-damaged) that were correct.</w:t>
            </w:r>
          </w:p>
        </w:tc>
      </w:tr>
      <w:tr w:rsidR="00D94E0A" w:rsidRPr="00233D98" w14:paraId="73079A3C" w14:textId="750D9C67" w:rsidTr="00653966">
        <w:trPr>
          <w:tblCellSpacing w:w="15" w:type="dxa"/>
        </w:trPr>
        <w:tc>
          <w:tcPr>
            <w:tcW w:w="1656" w:type="dxa"/>
            <w:vAlign w:val="center"/>
            <w:hideMark/>
          </w:tcPr>
          <w:p w14:paraId="062F5889" w14:textId="77777777" w:rsidR="00D94E0A" w:rsidRPr="00233D98" w:rsidRDefault="00D94E0A" w:rsidP="00653966">
            <w:pPr>
              <w:spacing w:after="0" w:line="360" w:lineRule="auto"/>
            </w:pPr>
            <w:r w:rsidRPr="00233D98">
              <w:t>Precision (Damage &gt;50%)</w:t>
            </w:r>
          </w:p>
        </w:tc>
        <w:tc>
          <w:tcPr>
            <w:tcW w:w="963" w:type="dxa"/>
            <w:vAlign w:val="center"/>
            <w:hideMark/>
          </w:tcPr>
          <w:p w14:paraId="61644680" w14:textId="77777777" w:rsidR="00D94E0A" w:rsidRPr="00233D98" w:rsidRDefault="00D94E0A" w:rsidP="00653966">
            <w:pPr>
              <w:spacing w:after="0" w:line="360" w:lineRule="auto"/>
              <w:jc w:val="both"/>
            </w:pPr>
            <w:r w:rsidRPr="00233D98">
              <w:t>89%</w:t>
            </w:r>
          </w:p>
        </w:tc>
        <w:tc>
          <w:tcPr>
            <w:tcW w:w="820" w:type="dxa"/>
            <w:vAlign w:val="center"/>
            <w:hideMark/>
          </w:tcPr>
          <w:p w14:paraId="5EF18852" w14:textId="77777777" w:rsidR="00D94E0A" w:rsidRPr="00233D98" w:rsidRDefault="00D94E0A" w:rsidP="00653966">
            <w:pPr>
              <w:spacing w:after="0" w:line="360" w:lineRule="auto"/>
              <w:jc w:val="both"/>
            </w:pPr>
            <w:r w:rsidRPr="00233D98">
              <w:t>88%</w:t>
            </w:r>
          </w:p>
        </w:tc>
        <w:tc>
          <w:tcPr>
            <w:tcW w:w="7043" w:type="dxa"/>
          </w:tcPr>
          <w:p w14:paraId="26361315" w14:textId="399CF802" w:rsidR="00D94E0A" w:rsidRPr="00D94E0A" w:rsidRDefault="00D94E0A" w:rsidP="00653966">
            <w:pPr>
              <w:spacing w:after="0" w:line="360" w:lineRule="auto"/>
              <w:jc w:val="both"/>
            </w:pPr>
            <w:r w:rsidRPr="00D94E0A">
              <w:t>When the model predicts a home is damaged, this is the percentage of those predictions that are correct.</w:t>
            </w:r>
          </w:p>
        </w:tc>
      </w:tr>
      <w:tr w:rsidR="00D94E0A" w:rsidRPr="00233D98" w14:paraId="6A158AFB" w14:textId="0386C341" w:rsidTr="00653966">
        <w:trPr>
          <w:tblCellSpacing w:w="15" w:type="dxa"/>
        </w:trPr>
        <w:tc>
          <w:tcPr>
            <w:tcW w:w="1656" w:type="dxa"/>
            <w:vAlign w:val="center"/>
            <w:hideMark/>
          </w:tcPr>
          <w:p w14:paraId="06A17156" w14:textId="77777777" w:rsidR="00D94E0A" w:rsidRPr="00D94E0A" w:rsidRDefault="00D94E0A" w:rsidP="00653966">
            <w:pPr>
              <w:spacing w:after="0" w:line="360" w:lineRule="auto"/>
            </w:pPr>
            <w:r w:rsidRPr="00233D98">
              <w:t xml:space="preserve">Recall </w:t>
            </w:r>
          </w:p>
          <w:p w14:paraId="05B4F7F2" w14:textId="619AB1BC" w:rsidR="00D94E0A" w:rsidRPr="00233D98" w:rsidRDefault="00D94E0A" w:rsidP="00653966">
            <w:pPr>
              <w:spacing w:after="0" w:line="360" w:lineRule="auto"/>
            </w:pPr>
            <w:r w:rsidRPr="00233D98">
              <w:t>(Damage &gt;50%)</w:t>
            </w:r>
          </w:p>
        </w:tc>
        <w:tc>
          <w:tcPr>
            <w:tcW w:w="963" w:type="dxa"/>
            <w:vAlign w:val="center"/>
            <w:hideMark/>
          </w:tcPr>
          <w:p w14:paraId="0A98B40B" w14:textId="77777777" w:rsidR="00D94E0A" w:rsidRPr="00233D98" w:rsidRDefault="00D94E0A" w:rsidP="00653966">
            <w:pPr>
              <w:spacing w:after="0" w:line="360" w:lineRule="auto"/>
              <w:jc w:val="both"/>
            </w:pPr>
            <w:r w:rsidRPr="00233D98">
              <w:t>89%</w:t>
            </w:r>
          </w:p>
        </w:tc>
        <w:tc>
          <w:tcPr>
            <w:tcW w:w="820" w:type="dxa"/>
            <w:vAlign w:val="center"/>
            <w:hideMark/>
          </w:tcPr>
          <w:p w14:paraId="1F3FB528" w14:textId="77777777" w:rsidR="00D94E0A" w:rsidRPr="00233D98" w:rsidRDefault="00D94E0A" w:rsidP="00653966">
            <w:pPr>
              <w:spacing w:after="0" w:line="360" w:lineRule="auto"/>
              <w:jc w:val="both"/>
            </w:pPr>
            <w:r w:rsidRPr="00233D98">
              <w:t>69%</w:t>
            </w:r>
          </w:p>
        </w:tc>
        <w:tc>
          <w:tcPr>
            <w:tcW w:w="7043" w:type="dxa"/>
          </w:tcPr>
          <w:p w14:paraId="63FD580C" w14:textId="631AA022" w:rsidR="00D94E0A" w:rsidRPr="00D94E0A" w:rsidRDefault="00D94E0A" w:rsidP="00653966">
            <w:pPr>
              <w:spacing w:after="0" w:line="360" w:lineRule="auto"/>
              <w:jc w:val="both"/>
            </w:pPr>
            <w:r w:rsidRPr="00D94E0A">
              <w:t>Out of all truly damaged homes, this is the percentage the model correctly identified as damaged.</w:t>
            </w:r>
          </w:p>
        </w:tc>
      </w:tr>
      <w:tr w:rsidR="00D94E0A" w:rsidRPr="00233D98" w14:paraId="376A3769" w14:textId="0927B07C" w:rsidTr="00653966">
        <w:trPr>
          <w:trHeight w:val="735"/>
          <w:tblCellSpacing w:w="15" w:type="dxa"/>
        </w:trPr>
        <w:tc>
          <w:tcPr>
            <w:tcW w:w="1656" w:type="dxa"/>
            <w:vAlign w:val="center"/>
            <w:hideMark/>
          </w:tcPr>
          <w:p w14:paraId="5781BC03" w14:textId="77777777" w:rsidR="00D94E0A" w:rsidRPr="00233D98" w:rsidRDefault="00D94E0A" w:rsidP="00653966">
            <w:pPr>
              <w:spacing w:after="0" w:line="360" w:lineRule="auto"/>
            </w:pPr>
            <w:r w:rsidRPr="00233D98">
              <w:t>F1-score</w:t>
            </w:r>
          </w:p>
        </w:tc>
        <w:tc>
          <w:tcPr>
            <w:tcW w:w="963" w:type="dxa"/>
            <w:vAlign w:val="center"/>
            <w:hideMark/>
          </w:tcPr>
          <w:p w14:paraId="2716B075" w14:textId="77777777" w:rsidR="00D94E0A" w:rsidRPr="00233D98" w:rsidRDefault="00D94E0A" w:rsidP="00653966">
            <w:pPr>
              <w:spacing w:after="0" w:line="360" w:lineRule="auto"/>
              <w:jc w:val="both"/>
            </w:pPr>
            <w:r w:rsidRPr="00233D98">
              <w:t>89%</w:t>
            </w:r>
          </w:p>
        </w:tc>
        <w:tc>
          <w:tcPr>
            <w:tcW w:w="820" w:type="dxa"/>
            <w:vAlign w:val="center"/>
            <w:hideMark/>
          </w:tcPr>
          <w:p w14:paraId="2C7C4B87" w14:textId="77777777" w:rsidR="00D94E0A" w:rsidRPr="00233D98" w:rsidRDefault="00D94E0A" w:rsidP="00653966">
            <w:pPr>
              <w:spacing w:after="0" w:line="360" w:lineRule="auto"/>
              <w:jc w:val="both"/>
            </w:pPr>
            <w:r w:rsidRPr="00233D98">
              <w:t>77%</w:t>
            </w:r>
          </w:p>
        </w:tc>
        <w:tc>
          <w:tcPr>
            <w:tcW w:w="7043" w:type="dxa"/>
          </w:tcPr>
          <w:p w14:paraId="52AA3CA5" w14:textId="41205BEF" w:rsidR="00D94E0A" w:rsidRPr="00D94E0A" w:rsidRDefault="00D94E0A" w:rsidP="00653966">
            <w:pPr>
              <w:spacing w:after="0" w:line="360" w:lineRule="auto"/>
              <w:jc w:val="both"/>
            </w:pPr>
            <w:r w:rsidRPr="00D94E0A">
              <w:t xml:space="preserve">The harmonic </w:t>
            </w:r>
            <w:proofErr w:type="gramStart"/>
            <w:r w:rsidRPr="00D94E0A">
              <w:t>mean</w:t>
            </w:r>
            <w:proofErr w:type="gramEnd"/>
            <w:r w:rsidRPr="00D94E0A">
              <w:t xml:space="preserve"> of precision and recall, balancing both metrics for a more comprehensive evaluation.</w:t>
            </w:r>
          </w:p>
        </w:tc>
      </w:tr>
    </w:tbl>
    <w:p w14:paraId="3478BC5C" w14:textId="79A2DDD1" w:rsidR="00233D98" w:rsidRPr="00D94E0A" w:rsidRDefault="00D94E0A" w:rsidP="00D94E0A">
      <w:pPr>
        <w:rPr>
          <w:b/>
          <w:bCs/>
        </w:rPr>
      </w:pPr>
      <w:r w:rsidRPr="00233D98">
        <w:rPr>
          <w:b/>
          <w:bCs/>
        </w:rPr>
        <w:t>kNN outperformed Naïve Bayes in terms of accuracy and recall, making it the preferred model.</w:t>
      </w:r>
    </w:p>
    <w:p w14:paraId="00DC87EC" w14:textId="51319280" w:rsidR="00233D98" w:rsidRPr="00233D98" w:rsidRDefault="00233D98" w:rsidP="00233D98">
      <w:pPr>
        <w:spacing w:line="360" w:lineRule="auto"/>
        <w:jc w:val="both"/>
        <w:rPr>
          <w:u w:val="single"/>
        </w:rPr>
      </w:pPr>
      <w:r w:rsidRPr="00233D98">
        <w:rPr>
          <w:u w:val="single"/>
        </w:rPr>
        <w:t xml:space="preserve">Confusion Matrix </w:t>
      </w:r>
      <w:r w:rsidR="00D94E0A">
        <w:rPr>
          <w:u w:val="single"/>
        </w:rPr>
        <w:t xml:space="preserve">for kNN model - </w:t>
      </w:r>
      <w:r w:rsidRPr="00233D98">
        <w:rPr>
          <w:u w:val="single"/>
        </w:rPr>
        <w:t>Insights</w:t>
      </w:r>
    </w:p>
    <w:p w14:paraId="52C861F7" w14:textId="77777777" w:rsidR="00233D98" w:rsidRPr="00233D98" w:rsidRDefault="00233D98" w:rsidP="00D94E0A">
      <w:pPr>
        <w:pStyle w:val="ListParagraph"/>
        <w:numPr>
          <w:ilvl w:val="0"/>
          <w:numId w:val="16"/>
        </w:numPr>
        <w:tabs>
          <w:tab w:val="num" w:pos="360"/>
        </w:tabs>
        <w:spacing w:line="360" w:lineRule="auto"/>
        <w:jc w:val="both"/>
      </w:pPr>
      <w:r w:rsidRPr="00233D98">
        <w:t>False Negatives: It missed 1,597 truly damaged homes, leading to an 11% miss rate.</w:t>
      </w:r>
    </w:p>
    <w:p w14:paraId="6C63137D" w14:textId="77777777" w:rsidR="00233D98" w:rsidRPr="00233D98" w:rsidRDefault="00233D98" w:rsidP="00D94E0A">
      <w:pPr>
        <w:pStyle w:val="ListParagraph"/>
        <w:numPr>
          <w:ilvl w:val="0"/>
          <w:numId w:val="16"/>
        </w:numPr>
        <w:tabs>
          <w:tab w:val="num" w:pos="360"/>
        </w:tabs>
        <w:spacing w:line="360" w:lineRule="auto"/>
        <w:jc w:val="both"/>
      </w:pPr>
      <w:r w:rsidRPr="00233D98">
        <w:t>False Positives: The model incorrectly flagged 1,581 non-damaged homes as damaged.</w:t>
      </w:r>
    </w:p>
    <w:p w14:paraId="2FEF80F9" w14:textId="77777777" w:rsidR="00233D98" w:rsidRPr="00233D98" w:rsidRDefault="00233D98" w:rsidP="00D94E0A">
      <w:pPr>
        <w:pStyle w:val="ListParagraph"/>
        <w:numPr>
          <w:ilvl w:val="0"/>
          <w:numId w:val="16"/>
        </w:numPr>
        <w:spacing w:line="360" w:lineRule="auto"/>
        <w:jc w:val="both"/>
      </w:pPr>
      <w:r w:rsidRPr="00233D98">
        <w:t>While the false negatives are higher than false positives, kNN’s high recall for damaged homes makes it a reliable model. Fine-tuning could further minimize missed cases and improve prediction performance.</w:t>
      </w:r>
    </w:p>
    <w:p w14:paraId="21DD221C" w14:textId="77777777" w:rsidR="002D4DB1" w:rsidRPr="002D4DB1" w:rsidRDefault="002D4DB1" w:rsidP="00233D98">
      <w:pPr>
        <w:spacing w:line="360" w:lineRule="auto"/>
        <w:jc w:val="both"/>
        <w:rPr>
          <w:b/>
          <w:bCs/>
        </w:rPr>
      </w:pPr>
      <w:r w:rsidRPr="002D4DB1">
        <w:rPr>
          <w:b/>
          <w:bCs/>
        </w:rPr>
        <w:t>Geospatial Visualization</w:t>
      </w:r>
    </w:p>
    <w:p w14:paraId="3B7251C8" w14:textId="68FF6715" w:rsidR="002D4DB1" w:rsidRPr="002D4DB1" w:rsidRDefault="002D4DB1" w:rsidP="00233D98">
      <w:pPr>
        <w:spacing w:line="360" w:lineRule="auto"/>
        <w:jc w:val="both"/>
      </w:pPr>
      <w:r w:rsidRPr="002D4DB1">
        <w:t>A scatter plot of latitude vs. longitude was created to visualize fire damage risk</w:t>
      </w:r>
      <w:r w:rsidR="00361F34">
        <w:t xml:space="preserve">. (Figure 5) </w:t>
      </w:r>
      <w:r w:rsidR="00233D98" w:rsidRPr="002D4DB1">
        <w:t>Counties</w:t>
      </w:r>
      <w:r w:rsidRPr="002D4DB1">
        <w:t xml:space="preserve"> with the highest destruction rates were Mono, Lake, and San Luis Obispo</w:t>
      </w:r>
      <w:r w:rsidR="008B2540">
        <w:t xml:space="preserve"> (See figures 3 and 4)</w:t>
      </w:r>
      <w:r w:rsidRPr="002D4DB1">
        <w:t>, highlighting regions requiring stronger mitigation efforts.</w:t>
      </w:r>
    </w:p>
    <w:p w14:paraId="2BB835AE" w14:textId="77777777" w:rsidR="002D4DB1" w:rsidRPr="002D4DB1" w:rsidRDefault="002D4DB1" w:rsidP="00233D98">
      <w:pPr>
        <w:spacing w:line="360" w:lineRule="auto"/>
        <w:jc w:val="both"/>
        <w:rPr>
          <w:b/>
          <w:bCs/>
        </w:rPr>
      </w:pPr>
      <w:r w:rsidRPr="002D4DB1">
        <w:rPr>
          <w:b/>
          <w:bCs/>
        </w:rPr>
        <w:t>Conclusion &amp; Recommendations</w:t>
      </w:r>
    </w:p>
    <w:p w14:paraId="54F02DC0" w14:textId="4FDB8E20" w:rsidR="002D4DB1" w:rsidRPr="002D4DB1" w:rsidRDefault="002D4DB1" w:rsidP="00233D98">
      <w:pPr>
        <w:spacing w:line="360" w:lineRule="auto"/>
        <w:jc w:val="both"/>
      </w:pPr>
      <w:r w:rsidRPr="002D4DB1">
        <w:t>The following recommendations can help improve future risk assessment:</w:t>
      </w:r>
    </w:p>
    <w:p w14:paraId="1D17FAEA" w14:textId="3C6F470C" w:rsidR="002D4DB1" w:rsidRPr="002D4DB1" w:rsidRDefault="002D4DB1" w:rsidP="00D94E0A">
      <w:pPr>
        <w:pStyle w:val="ListParagraph"/>
        <w:numPr>
          <w:ilvl w:val="0"/>
          <w:numId w:val="17"/>
        </w:numPr>
        <w:tabs>
          <w:tab w:val="num" w:pos="360"/>
        </w:tabs>
        <w:spacing w:line="360" w:lineRule="auto"/>
        <w:jc w:val="both"/>
      </w:pPr>
      <w:r w:rsidRPr="002D4DB1">
        <w:t>Feature Enhancement</w:t>
      </w:r>
      <w:r w:rsidR="002C3298" w:rsidRPr="00233D98">
        <w:t xml:space="preserve">: </w:t>
      </w:r>
      <w:r w:rsidRPr="002D4DB1">
        <w:t xml:space="preserve">Incorporate </w:t>
      </w:r>
      <w:r w:rsidR="002C3298" w:rsidRPr="00233D98">
        <w:t>humidity</w:t>
      </w:r>
      <w:r w:rsidRPr="002D4DB1">
        <w:t xml:space="preserve">, vegetation </w:t>
      </w:r>
      <w:r w:rsidR="00A414A2" w:rsidRPr="002D4DB1">
        <w:t>data,</w:t>
      </w:r>
      <w:r w:rsidRPr="002D4DB1">
        <w:t xml:space="preserve"> historical fire occurrences</w:t>
      </w:r>
      <w:r w:rsidR="008B2540">
        <w:t>, type of fire etc.</w:t>
      </w:r>
      <w:r w:rsidRPr="002D4DB1">
        <w:t xml:space="preserve"> to refine predictions.</w:t>
      </w:r>
      <w:r w:rsidR="008B2540">
        <w:t xml:space="preserve"> Poor data quality led to many variables being unused.</w:t>
      </w:r>
    </w:p>
    <w:p w14:paraId="3C01A685" w14:textId="206D73FA" w:rsidR="002D4DB1" w:rsidRPr="002D4DB1" w:rsidRDefault="002D4DB1" w:rsidP="00D94E0A">
      <w:pPr>
        <w:pStyle w:val="ListParagraph"/>
        <w:numPr>
          <w:ilvl w:val="0"/>
          <w:numId w:val="17"/>
        </w:numPr>
        <w:tabs>
          <w:tab w:val="num" w:pos="360"/>
        </w:tabs>
        <w:spacing w:line="360" w:lineRule="auto"/>
        <w:jc w:val="both"/>
      </w:pPr>
      <w:r w:rsidRPr="002D4DB1">
        <w:t>Threshold Tuning: Adjusting the classification threshold could improve recall and minimize false negatives.</w:t>
      </w:r>
      <w:r w:rsidR="008B2540">
        <w:t xml:space="preserve"> </w:t>
      </w:r>
    </w:p>
    <w:p w14:paraId="5CEAF6D4" w14:textId="04399209" w:rsidR="00233D98" w:rsidRPr="00233D98" w:rsidRDefault="002D4DB1" w:rsidP="00233D98">
      <w:pPr>
        <w:pStyle w:val="ListParagraph"/>
        <w:numPr>
          <w:ilvl w:val="0"/>
          <w:numId w:val="17"/>
        </w:numPr>
        <w:tabs>
          <w:tab w:val="num" w:pos="360"/>
        </w:tabs>
        <w:spacing w:line="360" w:lineRule="auto"/>
        <w:jc w:val="both"/>
      </w:pPr>
      <w:r w:rsidRPr="002D4DB1">
        <w:t>High-risk counties should be prioritized for improved building materials and fire-resistant designs</w:t>
      </w:r>
      <w:r w:rsidR="008B2540">
        <w:t xml:space="preserve"> (See figures 1 and 2)</w:t>
      </w:r>
      <w:r w:rsidRPr="002D4DB1">
        <w:t>.</w:t>
      </w:r>
    </w:p>
    <w:p w14:paraId="0AC10FF9" w14:textId="64885327" w:rsidR="00233D98" w:rsidRDefault="00233D98" w:rsidP="00233D98">
      <w:pPr>
        <w:spacing w:line="360" w:lineRule="auto"/>
        <w:jc w:val="both"/>
        <w:rPr>
          <w:b/>
          <w:bCs/>
        </w:rPr>
      </w:pPr>
      <w:r w:rsidRPr="00233D98">
        <w:rPr>
          <w:b/>
          <w:bCs/>
        </w:rPr>
        <w:lastRenderedPageBreak/>
        <w:t>Key Graphs</w:t>
      </w:r>
      <w:r>
        <w:rPr>
          <w:b/>
          <w:bCs/>
        </w:rPr>
        <w:t>:</w:t>
      </w:r>
    </w:p>
    <w:p w14:paraId="3B0DFCD4" w14:textId="0059AED6" w:rsidR="00233D98" w:rsidRDefault="00233D98" w:rsidP="00233D98">
      <w:pPr>
        <w:spacing w:line="360" w:lineRule="auto"/>
        <w:jc w:val="both"/>
        <w:rPr>
          <w:b/>
          <w:bCs/>
        </w:rPr>
      </w:pPr>
      <w:r>
        <w:rPr>
          <w:b/>
          <w:bCs/>
        </w:rPr>
        <w:t xml:space="preserve">Fire damage &gt; 50% vs house construction </w:t>
      </w:r>
      <w:r>
        <w:rPr>
          <w:b/>
          <w:bCs/>
        </w:rPr>
        <w:t>materials used</w:t>
      </w:r>
      <w:r w:rsidR="008B2540">
        <w:rPr>
          <w:b/>
          <w:bCs/>
        </w:rPr>
        <w:t xml:space="preserve"> (Figures 1 and 2)</w:t>
      </w:r>
    </w:p>
    <w:p w14:paraId="7179E146" w14:textId="319E7E12" w:rsidR="008B2540" w:rsidRDefault="008B2540" w:rsidP="008B2540">
      <w:pPr>
        <w:spacing w:line="360" w:lineRule="auto"/>
      </w:pPr>
      <w:r>
        <w:t>Using f</w:t>
      </w:r>
      <w:r>
        <w:t>ire resistant building materials clearly made a difference in</w:t>
      </w:r>
      <w:r>
        <w:t xml:space="preserve"> reducing damage.</w:t>
      </w:r>
    </w:p>
    <w:p w14:paraId="62FAEAEC" w14:textId="31AA3006" w:rsidR="00233D98" w:rsidRPr="00233D98" w:rsidRDefault="00233D98" w:rsidP="00233D98">
      <w:pPr>
        <w:spacing w:line="360" w:lineRule="auto"/>
        <w:jc w:val="both"/>
        <w:rPr>
          <w:b/>
          <w:bCs/>
        </w:rPr>
      </w:pPr>
      <w:r>
        <w:rPr>
          <w:b/>
          <w:bCs/>
          <w:noProof/>
        </w:rPr>
        <w:drawing>
          <wp:inline distT="0" distB="0" distL="0" distR="0" wp14:anchorId="690116C4" wp14:editId="76CF75AB">
            <wp:extent cx="5091193" cy="2941565"/>
            <wp:effectExtent l="0" t="0" r="0" b="0"/>
            <wp:docPr id="1491045225" name="Picture 1" descr="A chart of a fire damag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45225" name="Picture 1" descr="A chart of a fire damage distribu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42423" cy="2971164"/>
                    </a:xfrm>
                    <a:prstGeom prst="rect">
                      <a:avLst/>
                    </a:prstGeom>
                  </pic:spPr>
                </pic:pic>
              </a:graphicData>
            </a:graphic>
          </wp:inline>
        </w:drawing>
      </w:r>
      <w:r>
        <w:rPr>
          <w:b/>
          <w:bCs/>
          <w:noProof/>
        </w:rPr>
        <w:drawing>
          <wp:inline distT="0" distB="0" distL="0" distR="0" wp14:anchorId="61A66D88" wp14:editId="3939AB5B">
            <wp:extent cx="5090795" cy="3106593"/>
            <wp:effectExtent l="0" t="0" r="0" b="0"/>
            <wp:docPr id="1380175916" name="Picture 2" descr="A graph of a fire damag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75916" name="Picture 2" descr="A graph of a fire damage distribu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08997" cy="3117701"/>
                    </a:xfrm>
                    <a:prstGeom prst="rect">
                      <a:avLst/>
                    </a:prstGeom>
                  </pic:spPr>
                </pic:pic>
              </a:graphicData>
            </a:graphic>
          </wp:inline>
        </w:drawing>
      </w:r>
    </w:p>
    <w:p w14:paraId="0FBBE893" w14:textId="3D0BFFED" w:rsidR="00233D98" w:rsidRDefault="00233D98" w:rsidP="00233D98">
      <w:pPr>
        <w:spacing w:line="360" w:lineRule="auto"/>
        <w:jc w:val="both"/>
      </w:pPr>
      <w:r>
        <w:br w:type="page"/>
      </w:r>
    </w:p>
    <w:p w14:paraId="106609EE" w14:textId="78B7E7C0" w:rsidR="00233D98" w:rsidRPr="002D4DB1" w:rsidRDefault="00233D98" w:rsidP="00233D98">
      <w:pPr>
        <w:spacing w:line="360" w:lineRule="auto"/>
        <w:ind w:left="720"/>
        <w:jc w:val="both"/>
        <w:rPr>
          <w:b/>
          <w:bCs/>
        </w:rPr>
      </w:pPr>
      <w:r w:rsidRPr="00233D98">
        <w:rPr>
          <w:b/>
          <w:bCs/>
        </w:rPr>
        <w:lastRenderedPageBreak/>
        <w:t>Fire damage rate – County Statistics</w:t>
      </w:r>
      <w:r w:rsidR="008B2540">
        <w:rPr>
          <w:b/>
          <w:bCs/>
        </w:rPr>
        <w:t xml:space="preserve"> (Figures 3 and 4)</w:t>
      </w:r>
      <w:r w:rsidRPr="00233D98">
        <w:rPr>
          <w:b/>
          <w:bCs/>
        </w:rPr>
        <w:t xml:space="preserve">: </w:t>
      </w:r>
    </w:p>
    <w:p w14:paraId="3576D077" w14:textId="2CBF16C1" w:rsidR="00233D98" w:rsidRDefault="00233D98" w:rsidP="00233D98">
      <w:pPr>
        <w:spacing w:line="360" w:lineRule="auto"/>
        <w:jc w:val="both"/>
        <w:rPr>
          <w:b/>
          <w:bCs/>
        </w:rPr>
      </w:pPr>
      <w:r>
        <w:rPr>
          <w:b/>
          <w:bCs/>
          <w:noProof/>
        </w:rPr>
        <w:drawing>
          <wp:inline distT="0" distB="0" distL="0" distR="0" wp14:anchorId="47B882B0" wp14:editId="73CCE4B3">
            <wp:extent cx="5731510" cy="3974465"/>
            <wp:effectExtent l="0" t="0" r="1905" b="8255"/>
            <wp:docPr id="1184253707" name="Picture 3"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53707" name="Picture 3" descr="A screen 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974465"/>
                    </a:xfrm>
                    <a:prstGeom prst="rect">
                      <a:avLst/>
                    </a:prstGeom>
                  </pic:spPr>
                </pic:pic>
              </a:graphicData>
            </a:graphic>
          </wp:inline>
        </w:drawing>
      </w:r>
      <w:r>
        <w:rPr>
          <w:b/>
          <w:bCs/>
          <w:noProof/>
        </w:rPr>
        <w:drawing>
          <wp:inline distT="0" distB="0" distL="0" distR="0" wp14:anchorId="3FC256ED" wp14:editId="41974193">
            <wp:extent cx="5680129" cy="2863978"/>
            <wp:effectExtent l="0" t="0" r="0" b="0"/>
            <wp:docPr id="402184597" name="Picture 4"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84597" name="Picture 4" descr="A graph of different colored bar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687614" cy="2867752"/>
                    </a:xfrm>
                    <a:prstGeom prst="rect">
                      <a:avLst/>
                    </a:prstGeom>
                  </pic:spPr>
                </pic:pic>
              </a:graphicData>
            </a:graphic>
          </wp:inline>
        </w:drawing>
      </w:r>
    </w:p>
    <w:p w14:paraId="759508AF" w14:textId="77777777" w:rsidR="00A414A2" w:rsidRDefault="00A414A2" w:rsidP="00233D98">
      <w:pPr>
        <w:spacing w:line="360" w:lineRule="auto"/>
        <w:jc w:val="both"/>
        <w:rPr>
          <w:b/>
          <w:bCs/>
        </w:rPr>
      </w:pPr>
    </w:p>
    <w:p w14:paraId="1C21DD2A" w14:textId="77777777" w:rsidR="00A414A2" w:rsidRDefault="00A414A2" w:rsidP="00233D98">
      <w:pPr>
        <w:spacing w:line="360" w:lineRule="auto"/>
        <w:jc w:val="both"/>
        <w:rPr>
          <w:b/>
          <w:bCs/>
        </w:rPr>
      </w:pPr>
    </w:p>
    <w:p w14:paraId="3C380C55" w14:textId="77777777" w:rsidR="00A414A2" w:rsidRDefault="00A414A2" w:rsidP="00233D98">
      <w:pPr>
        <w:spacing w:line="360" w:lineRule="auto"/>
        <w:jc w:val="both"/>
        <w:rPr>
          <w:b/>
          <w:bCs/>
        </w:rPr>
      </w:pPr>
    </w:p>
    <w:p w14:paraId="624783E6" w14:textId="77777777" w:rsidR="00A414A2" w:rsidRDefault="00A414A2" w:rsidP="00233D98">
      <w:pPr>
        <w:spacing w:line="360" w:lineRule="auto"/>
        <w:jc w:val="both"/>
        <w:rPr>
          <w:b/>
          <w:bCs/>
        </w:rPr>
      </w:pPr>
    </w:p>
    <w:p w14:paraId="04730F21" w14:textId="77777777" w:rsidR="00653966" w:rsidRDefault="00653966" w:rsidP="00233D98">
      <w:pPr>
        <w:spacing w:line="360" w:lineRule="auto"/>
        <w:jc w:val="both"/>
        <w:rPr>
          <w:b/>
          <w:bCs/>
        </w:rPr>
      </w:pPr>
    </w:p>
    <w:p w14:paraId="2E3078C5" w14:textId="77777777" w:rsidR="00653966" w:rsidRDefault="00653966" w:rsidP="00233D98">
      <w:pPr>
        <w:spacing w:line="360" w:lineRule="auto"/>
        <w:jc w:val="both"/>
        <w:rPr>
          <w:b/>
          <w:bCs/>
        </w:rPr>
      </w:pPr>
    </w:p>
    <w:p w14:paraId="40FCCCD5" w14:textId="1F9E89C1" w:rsidR="00A414A2" w:rsidRDefault="00A414A2" w:rsidP="00233D98">
      <w:pPr>
        <w:spacing w:line="360" w:lineRule="auto"/>
        <w:jc w:val="both"/>
        <w:rPr>
          <w:b/>
          <w:bCs/>
        </w:rPr>
      </w:pPr>
      <w:r>
        <w:rPr>
          <w:b/>
          <w:bCs/>
        </w:rPr>
        <w:t>Figure 5 – Scatter plot of damage levels by latitude and longitude:</w:t>
      </w:r>
    </w:p>
    <w:p w14:paraId="294339F5" w14:textId="605ADB77" w:rsidR="00A414A2" w:rsidRPr="00233D98" w:rsidRDefault="00A414A2" w:rsidP="00233D98">
      <w:pPr>
        <w:spacing w:line="360" w:lineRule="auto"/>
        <w:jc w:val="both"/>
        <w:rPr>
          <w:b/>
          <w:bCs/>
        </w:rPr>
      </w:pPr>
      <w:r>
        <w:rPr>
          <w:b/>
          <w:bCs/>
          <w:noProof/>
        </w:rPr>
        <w:lastRenderedPageBreak/>
        <w:drawing>
          <wp:inline distT="0" distB="0" distL="0" distR="0" wp14:anchorId="18A24EC8" wp14:editId="1A9B4885">
            <wp:extent cx="5731510" cy="3701415"/>
            <wp:effectExtent l="0" t="0" r="2540" b="0"/>
            <wp:docPr id="373468810" name="Picture 6" descr="A red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68810" name="Picture 6" descr="A red and green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701415"/>
                    </a:xfrm>
                    <a:prstGeom prst="rect">
                      <a:avLst/>
                    </a:prstGeom>
                  </pic:spPr>
                </pic:pic>
              </a:graphicData>
            </a:graphic>
          </wp:inline>
        </w:drawing>
      </w:r>
    </w:p>
    <w:sectPr w:rsidR="00A414A2" w:rsidRPr="00233D98" w:rsidSect="006539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6550D"/>
    <w:multiLevelType w:val="multilevel"/>
    <w:tmpl w:val="155E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F5F85"/>
    <w:multiLevelType w:val="hybridMultilevel"/>
    <w:tmpl w:val="6F44D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46201"/>
    <w:multiLevelType w:val="multilevel"/>
    <w:tmpl w:val="33FA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33153"/>
    <w:multiLevelType w:val="multilevel"/>
    <w:tmpl w:val="0C6C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92E5B"/>
    <w:multiLevelType w:val="multilevel"/>
    <w:tmpl w:val="09E4E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D36FBE"/>
    <w:multiLevelType w:val="multilevel"/>
    <w:tmpl w:val="11B0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9777D"/>
    <w:multiLevelType w:val="multilevel"/>
    <w:tmpl w:val="A8F0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E03197"/>
    <w:multiLevelType w:val="multilevel"/>
    <w:tmpl w:val="6602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3B2A68"/>
    <w:multiLevelType w:val="multilevel"/>
    <w:tmpl w:val="031CC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5730F2"/>
    <w:multiLevelType w:val="multilevel"/>
    <w:tmpl w:val="ECA29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F43449"/>
    <w:multiLevelType w:val="multilevel"/>
    <w:tmpl w:val="498E5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0D326F"/>
    <w:multiLevelType w:val="multilevel"/>
    <w:tmpl w:val="ECFA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9B0C21"/>
    <w:multiLevelType w:val="multilevel"/>
    <w:tmpl w:val="FC72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144AA6"/>
    <w:multiLevelType w:val="hybridMultilevel"/>
    <w:tmpl w:val="2DEC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16714D"/>
    <w:multiLevelType w:val="hybridMultilevel"/>
    <w:tmpl w:val="AC40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BB047E"/>
    <w:multiLevelType w:val="multilevel"/>
    <w:tmpl w:val="00D68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7779EF"/>
    <w:multiLevelType w:val="multilevel"/>
    <w:tmpl w:val="2D2C3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5519450">
    <w:abstractNumId w:val="8"/>
  </w:num>
  <w:num w:numId="2" w16cid:durableId="1568033355">
    <w:abstractNumId w:val="9"/>
  </w:num>
  <w:num w:numId="3" w16cid:durableId="775946455">
    <w:abstractNumId w:val="12"/>
  </w:num>
  <w:num w:numId="4" w16cid:durableId="1437868109">
    <w:abstractNumId w:val="3"/>
  </w:num>
  <w:num w:numId="5" w16cid:durableId="1586766381">
    <w:abstractNumId w:val="11"/>
  </w:num>
  <w:num w:numId="6" w16cid:durableId="7684614">
    <w:abstractNumId w:val="15"/>
  </w:num>
  <w:num w:numId="7" w16cid:durableId="202206578">
    <w:abstractNumId w:val="4"/>
  </w:num>
  <w:num w:numId="8" w16cid:durableId="2045009824">
    <w:abstractNumId w:val="0"/>
  </w:num>
  <w:num w:numId="9" w16cid:durableId="1071193337">
    <w:abstractNumId w:val="5"/>
  </w:num>
  <w:num w:numId="10" w16cid:durableId="31613262">
    <w:abstractNumId w:val="6"/>
  </w:num>
  <w:num w:numId="11" w16cid:durableId="405687390">
    <w:abstractNumId w:val="10"/>
  </w:num>
  <w:num w:numId="12" w16cid:durableId="34624821">
    <w:abstractNumId w:val="16"/>
  </w:num>
  <w:num w:numId="13" w16cid:durableId="1168399484">
    <w:abstractNumId w:val="2"/>
  </w:num>
  <w:num w:numId="14" w16cid:durableId="1992444407">
    <w:abstractNumId w:val="7"/>
  </w:num>
  <w:num w:numId="15" w16cid:durableId="1902446637">
    <w:abstractNumId w:val="13"/>
  </w:num>
  <w:num w:numId="16" w16cid:durableId="1620449174">
    <w:abstractNumId w:val="1"/>
  </w:num>
  <w:num w:numId="17" w16cid:durableId="17384779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DB1"/>
    <w:rsid w:val="0005682A"/>
    <w:rsid w:val="000C7E2A"/>
    <w:rsid w:val="002125D0"/>
    <w:rsid w:val="00233D98"/>
    <w:rsid w:val="0029573F"/>
    <w:rsid w:val="002C3298"/>
    <w:rsid w:val="002D4DB1"/>
    <w:rsid w:val="0035257E"/>
    <w:rsid w:val="00361F34"/>
    <w:rsid w:val="005333BC"/>
    <w:rsid w:val="005B3215"/>
    <w:rsid w:val="00653966"/>
    <w:rsid w:val="00734FC1"/>
    <w:rsid w:val="007B65F9"/>
    <w:rsid w:val="00825487"/>
    <w:rsid w:val="008B2540"/>
    <w:rsid w:val="00A414A2"/>
    <w:rsid w:val="00D94E0A"/>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35683"/>
  <w15:chartTrackingRefBased/>
  <w15:docId w15:val="{5F7010E3-A000-4547-913A-D32E09CBB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D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D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D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D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D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D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D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D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D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D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D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D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D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D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D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D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D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DB1"/>
    <w:rPr>
      <w:rFonts w:eastAsiaTheme="majorEastAsia" w:cstheme="majorBidi"/>
      <w:color w:val="272727" w:themeColor="text1" w:themeTint="D8"/>
    </w:rPr>
  </w:style>
  <w:style w:type="paragraph" w:styleId="Title">
    <w:name w:val="Title"/>
    <w:basedOn w:val="Normal"/>
    <w:next w:val="Normal"/>
    <w:link w:val="TitleChar"/>
    <w:uiPriority w:val="10"/>
    <w:qFormat/>
    <w:rsid w:val="002D4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D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D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D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DB1"/>
    <w:pPr>
      <w:spacing w:before="160"/>
      <w:jc w:val="center"/>
    </w:pPr>
    <w:rPr>
      <w:i/>
      <w:iCs/>
      <w:color w:val="404040" w:themeColor="text1" w:themeTint="BF"/>
    </w:rPr>
  </w:style>
  <w:style w:type="character" w:customStyle="1" w:styleId="QuoteChar">
    <w:name w:val="Quote Char"/>
    <w:basedOn w:val="DefaultParagraphFont"/>
    <w:link w:val="Quote"/>
    <w:uiPriority w:val="29"/>
    <w:rsid w:val="002D4DB1"/>
    <w:rPr>
      <w:i/>
      <w:iCs/>
      <w:color w:val="404040" w:themeColor="text1" w:themeTint="BF"/>
    </w:rPr>
  </w:style>
  <w:style w:type="paragraph" w:styleId="ListParagraph">
    <w:name w:val="List Paragraph"/>
    <w:basedOn w:val="Normal"/>
    <w:uiPriority w:val="34"/>
    <w:qFormat/>
    <w:rsid w:val="002D4DB1"/>
    <w:pPr>
      <w:ind w:left="720"/>
      <w:contextualSpacing/>
    </w:pPr>
  </w:style>
  <w:style w:type="character" w:styleId="IntenseEmphasis">
    <w:name w:val="Intense Emphasis"/>
    <w:basedOn w:val="DefaultParagraphFont"/>
    <w:uiPriority w:val="21"/>
    <w:qFormat/>
    <w:rsid w:val="002D4DB1"/>
    <w:rPr>
      <w:i/>
      <w:iCs/>
      <w:color w:val="0F4761" w:themeColor="accent1" w:themeShade="BF"/>
    </w:rPr>
  </w:style>
  <w:style w:type="paragraph" w:styleId="IntenseQuote">
    <w:name w:val="Intense Quote"/>
    <w:basedOn w:val="Normal"/>
    <w:next w:val="Normal"/>
    <w:link w:val="IntenseQuoteChar"/>
    <w:uiPriority w:val="30"/>
    <w:qFormat/>
    <w:rsid w:val="002D4D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DB1"/>
    <w:rPr>
      <w:i/>
      <w:iCs/>
      <w:color w:val="0F4761" w:themeColor="accent1" w:themeShade="BF"/>
    </w:rPr>
  </w:style>
  <w:style w:type="character" w:styleId="IntenseReference">
    <w:name w:val="Intense Reference"/>
    <w:basedOn w:val="DefaultParagraphFont"/>
    <w:uiPriority w:val="32"/>
    <w:qFormat/>
    <w:rsid w:val="002D4D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305411">
      <w:bodyDiv w:val="1"/>
      <w:marLeft w:val="0"/>
      <w:marRight w:val="0"/>
      <w:marTop w:val="0"/>
      <w:marBottom w:val="0"/>
      <w:divBdr>
        <w:top w:val="none" w:sz="0" w:space="0" w:color="auto"/>
        <w:left w:val="none" w:sz="0" w:space="0" w:color="auto"/>
        <w:bottom w:val="none" w:sz="0" w:space="0" w:color="auto"/>
        <w:right w:val="none" w:sz="0" w:space="0" w:color="auto"/>
      </w:divBdr>
    </w:div>
    <w:div w:id="637762391">
      <w:bodyDiv w:val="1"/>
      <w:marLeft w:val="0"/>
      <w:marRight w:val="0"/>
      <w:marTop w:val="0"/>
      <w:marBottom w:val="0"/>
      <w:divBdr>
        <w:top w:val="none" w:sz="0" w:space="0" w:color="auto"/>
        <w:left w:val="none" w:sz="0" w:space="0" w:color="auto"/>
        <w:bottom w:val="none" w:sz="0" w:space="0" w:color="auto"/>
        <w:right w:val="none" w:sz="0" w:space="0" w:color="auto"/>
      </w:divBdr>
    </w:div>
    <w:div w:id="1060863689">
      <w:bodyDiv w:val="1"/>
      <w:marLeft w:val="0"/>
      <w:marRight w:val="0"/>
      <w:marTop w:val="0"/>
      <w:marBottom w:val="0"/>
      <w:divBdr>
        <w:top w:val="none" w:sz="0" w:space="0" w:color="auto"/>
        <w:left w:val="none" w:sz="0" w:space="0" w:color="auto"/>
        <w:bottom w:val="none" w:sz="0" w:space="0" w:color="auto"/>
        <w:right w:val="none" w:sz="0" w:space="0" w:color="auto"/>
      </w:divBdr>
    </w:div>
    <w:div w:id="1178810843">
      <w:bodyDiv w:val="1"/>
      <w:marLeft w:val="0"/>
      <w:marRight w:val="0"/>
      <w:marTop w:val="0"/>
      <w:marBottom w:val="0"/>
      <w:divBdr>
        <w:top w:val="none" w:sz="0" w:space="0" w:color="auto"/>
        <w:left w:val="none" w:sz="0" w:space="0" w:color="auto"/>
        <w:bottom w:val="none" w:sz="0" w:space="0" w:color="auto"/>
        <w:right w:val="none" w:sz="0" w:space="0" w:color="auto"/>
      </w:divBdr>
    </w:div>
    <w:div w:id="1355838581">
      <w:bodyDiv w:val="1"/>
      <w:marLeft w:val="0"/>
      <w:marRight w:val="0"/>
      <w:marTop w:val="0"/>
      <w:marBottom w:val="0"/>
      <w:divBdr>
        <w:top w:val="none" w:sz="0" w:space="0" w:color="auto"/>
        <w:left w:val="none" w:sz="0" w:space="0" w:color="auto"/>
        <w:bottom w:val="none" w:sz="0" w:space="0" w:color="auto"/>
        <w:right w:val="none" w:sz="0" w:space="0" w:color="auto"/>
      </w:divBdr>
    </w:div>
    <w:div w:id="1590428068">
      <w:bodyDiv w:val="1"/>
      <w:marLeft w:val="0"/>
      <w:marRight w:val="0"/>
      <w:marTop w:val="0"/>
      <w:marBottom w:val="0"/>
      <w:divBdr>
        <w:top w:val="none" w:sz="0" w:space="0" w:color="auto"/>
        <w:left w:val="none" w:sz="0" w:space="0" w:color="auto"/>
        <w:bottom w:val="none" w:sz="0" w:space="0" w:color="auto"/>
        <w:right w:val="none" w:sz="0" w:space="0" w:color="auto"/>
      </w:divBdr>
    </w:div>
    <w:div w:id="1629435939">
      <w:bodyDiv w:val="1"/>
      <w:marLeft w:val="0"/>
      <w:marRight w:val="0"/>
      <w:marTop w:val="0"/>
      <w:marBottom w:val="0"/>
      <w:divBdr>
        <w:top w:val="none" w:sz="0" w:space="0" w:color="auto"/>
        <w:left w:val="none" w:sz="0" w:space="0" w:color="auto"/>
        <w:bottom w:val="none" w:sz="0" w:space="0" w:color="auto"/>
        <w:right w:val="none" w:sz="0" w:space="0" w:color="auto"/>
      </w:divBdr>
    </w:div>
    <w:div w:id="207527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ef9f489-e0a0-4eeb-87cc-3a526112fd0d}" enabled="0" method="" siteId="{9ef9f489-e0a0-4eeb-87cc-3a526112fd0d}" removed="1"/>
</clbl:labelList>
</file>

<file path=docProps/app.xml><?xml version="1.0" encoding="utf-8"?>
<Properties xmlns="http://schemas.openxmlformats.org/officeDocument/2006/extended-properties" xmlns:vt="http://schemas.openxmlformats.org/officeDocument/2006/docPropsVTypes">
  <Template>Normal</Template>
  <TotalTime>66</TotalTime>
  <Pages>5</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Lakshmanan, Nachu</dc:creator>
  <cp:keywords/>
  <dc:description/>
  <cp:lastModifiedBy>Lakshmanan, Nachu</cp:lastModifiedBy>
  <cp:revision>5</cp:revision>
  <dcterms:created xsi:type="dcterms:W3CDTF">2025-01-28T23:15:00Z</dcterms:created>
  <dcterms:modified xsi:type="dcterms:W3CDTF">2025-01-29T00:21:00Z</dcterms:modified>
</cp:coreProperties>
</file>