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>A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>
        <w:rPr>
          <w:rFonts w:ascii="TimesNewRoman" w:hAnsi="TimesNewRoman" w:cs="TimesNewRoman"/>
          <w:sz w:val="24"/>
          <w:szCs w:val="24"/>
        </w:rPr>
        <w:t>A</w:t>
      </w:r>
      <w:r w:rsidRPr="005B2ECD">
        <w:rPr>
          <w:sz w:val="24"/>
          <w:szCs w:val="24"/>
        </w:rPr>
        <w:t xml:space="preserve"> - Homologação </w:t>
      </w:r>
      <w:r w:rsidR="009E6EA8">
        <w:rPr>
          <w:sz w:val="24"/>
          <w:szCs w:val="24"/>
        </w:rPr>
        <w:t>para realização de controle de qualidade de produto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3A5BC7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3A5BC7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  <w:r>
        <w:rPr>
          <w:rFonts w:ascii="Arial" w:hAnsi="Arial" w:cs="Arial"/>
        </w:rPr>
        <w:t xml:space="preserve"> 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– A </w:t>
      </w:r>
      <w:r w:rsidR="0040667D">
        <w:rPr>
          <w:rFonts w:ascii="Arial" w:hAnsi="Arial" w:cs="Arial"/>
        </w:rPr>
        <w:t>CONTRATANTE fornecerá à CONTRATADA a</w:t>
      </w:r>
      <w:r>
        <w:rPr>
          <w:rFonts w:ascii="Arial" w:hAnsi="Arial" w:cs="Arial"/>
        </w:rPr>
        <w:t xml:space="preserve"> matéria prima necessária à confecção de amostras e lote </w:t>
      </w:r>
      <w:r w:rsidR="005B70CF">
        <w:rPr>
          <w:rFonts w:ascii="Arial" w:hAnsi="Arial" w:cs="Arial"/>
        </w:rPr>
        <w:t>para a produção dos itens previstos nos itens 5.2.1, 5.9.1 e 5.9.2</w:t>
      </w:r>
      <w:r>
        <w:rPr>
          <w:rFonts w:ascii="Arial" w:hAnsi="Arial" w:cs="Arial"/>
        </w:rPr>
        <w:t>.</w:t>
      </w:r>
    </w:p>
    <w:p w:rsidR="004529D4" w:rsidRDefault="004529D4" w:rsidP="008F1D6F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</w:t>
      </w:r>
      <w:r w:rsidR="005B70CF">
        <w:rPr>
          <w:rFonts w:ascii="Arial" w:hAnsi="Arial" w:cs="Arial"/>
        </w:rPr>
        <w:t>NTE</w:t>
      </w:r>
      <w:r>
        <w:rPr>
          <w:rFonts w:ascii="Arial" w:hAnsi="Arial" w:cs="Arial"/>
        </w:rPr>
        <w:t xml:space="preserve"> poderá </w:t>
      </w:r>
      <w:r w:rsidR="005B70CF">
        <w:rPr>
          <w:rFonts w:ascii="Arial" w:hAnsi="Arial" w:cs="Arial"/>
        </w:rPr>
        <w:t xml:space="preserve">fornecer, por </w:t>
      </w:r>
      <w:r>
        <w:rPr>
          <w:rFonts w:ascii="Arial" w:hAnsi="Arial" w:cs="Arial"/>
        </w:rPr>
        <w:t xml:space="preserve">solicitar </w:t>
      </w:r>
      <w:r w:rsidR="005B70CF">
        <w:rPr>
          <w:rFonts w:ascii="Arial" w:hAnsi="Arial" w:cs="Arial"/>
        </w:rPr>
        <w:t>da CONTRATADA,</w:t>
      </w:r>
      <w:r>
        <w:rPr>
          <w:rFonts w:ascii="Arial" w:hAnsi="Arial" w:cs="Arial"/>
        </w:rPr>
        <w:t xml:space="preserve"> o fornecimento de matéria prima complementar</w:t>
      </w:r>
      <w:r w:rsidR="005B70CF">
        <w:rPr>
          <w:rFonts w:ascii="Arial" w:hAnsi="Arial" w:cs="Arial"/>
        </w:rPr>
        <w:t xml:space="preserve">. Este fornecimento está condicionado ao </w:t>
      </w:r>
      <w:r>
        <w:rPr>
          <w:rFonts w:ascii="Arial" w:hAnsi="Arial" w:cs="Arial"/>
        </w:rPr>
        <w:t xml:space="preserve">recolhimento do </w:t>
      </w:r>
      <w:r w:rsidR="0040667D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desse material</w:t>
      </w:r>
      <w:r w:rsidR="005B70CF">
        <w:rPr>
          <w:rFonts w:ascii="Arial" w:hAnsi="Arial" w:cs="Arial"/>
        </w:rPr>
        <w:t xml:space="preserve"> informado pela CONTRATANTE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lastRenderedPageBreak/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lastRenderedPageBreak/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B65" w:rsidRDefault="000D5B65">
      <w:r>
        <w:separator/>
      </w:r>
    </w:p>
  </w:endnote>
  <w:endnote w:type="continuationSeparator" w:id="1">
    <w:p w:rsidR="000D5B65" w:rsidRDefault="000D5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3A5BC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A5BC7">
          <w:rPr>
            <w:b/>
            <w:sz w:val="24"/>
            <w:szCs w:val="24"/>
          </w:rPr>
          <w:fldChar w:fldCharType="separate"/>
        </w:r>
        <w:r w:rsidR="00BF74AD">
          <w:rPr>
            <w:b/>
            <w:noProof/>
          </w:rPr>
          <w:t>2</w:t>
        </w:r>
        <w:r w:rsidR="003A5BC7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3A5BC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A5BC7">
          <w:rPr>
            <w:b/>
            <w:sz w:val="24"/>
            <w:szCs w:val="24"/>
          </w:rPr>
          <w:fldChar w:fldCharType="separate"/>
        </w:r>
        <w:r w:rsidR="00BF74AD">
          <w:rPr>
            <w:b/>
            <w:noProof/>
          </w:rPr>
          <w:t>13</w:t>
        </w:r>
        <w:r w:rsidR="003A5BC7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3A5B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3A5B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5BC7">
              <w:rPr>
                <w:b/>
                <w:sz w:val="24"/>
                <w:szCs w:val="24"/>
              </w:rPr>
              <w:fldChar w:fldCharType="separate"/>
            </w:r>
            <w:r w:rsidR="00BF74AD">
              <w:rPr>
                <w:b/>
                <w:noProof/>
              </w:rPr>
              <w:t>13</w:t>
            </w:r>
            <w:r w:rsidR="003A5BC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A5B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5BC7">
              <w:rPr>
                <w:b/>
                <w:sz w:val="24"/>
                <w:szCs w:val="24"/>
              </w:rPr>
              <w:fldChar w:fldCharType="separate"/>
            </w:r>
            <w:r w:rsidR="00BF74AD">
              <w:rPr>
                <w:b/>
                <w:noProof/>
              </w:rPr>
              <w:t>13</w:t>
            </w:r>
            <w:r w:rsidR="003A5BC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BF74AD">
                                      <w:rPr>
                                        <w:b/>
                                        <w:noProof/>
                                      </w:rPr>
                                      <w:t>7</w: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BF74AD">
                                      <w:rPr>
                                        <w:b/>
                                        <w:noProof/>
                                      </w:rPr>
                                      <w:t>13</w:t>
                                    </w:r>
                                    <w:r w:rsidR="003A5BC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3A5BC7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B65" w:rsidRDefault="000D5B65">
      <w:r>
        <w:separator/>
      </w:r>
    </w:p>
  </w:footnote>
  <w:footnote w:type="continuationSeparator" w:id="1">
    <w:p w:rsidR="000D5B65" w:rsidRDefault="000D5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3B96"/>
    <w:rsid w:val="000C2DDC"/>
    <w:rsid w:val="000C38CD"/>
    <w:rsid w:val="000D2C79"/>
    <w:rsid w:val="000D5B65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A5BC7"/>
    <w:rsid w:val="003B0DF0"/>
    <w:rsid w:val="003B688C"/>
    <w:rsid w:val="003C34FE"/>
    <w:rsid w:val="003C75C0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0A04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7E7F"/>
    <w:rsid w:val="0079330A"/>
    <w:rsid w:val="00793825"/>
    <w:rsid w:val="007A044B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2554D"/>
    <w:rsid w:val="00825AD6"/>
    <w:rsid w:val="008308A8"/>
    <w:rsid w:val="008353D0"/>
    <w:rsid w:val="00835C81"/>
    <w:rsid w:val="00840316"/>
    <w:rsid w:val="00851A06"/>
    <w:rsid w:val="008534BF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37E2"/>
    <w:rsid w:val="00925010"/>
    <w:rsid w:val="00925132"/>
    <w:rsid w:val="009345B6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F37"/>
    <w:rsid w:val="00BF6B22"/>
    <w:rsid w:val="00BF74AD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4E5D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1F09FF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B71ABE"/>
    <w:rsid w:val="00BF3DB6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3524</Words>
  <Characters>19032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2021-06-10T14:23:00Z</cp:lastPrinted>
  <dcterms:created xsi:type="dcterms:W3CDTF">2021-06-10T14:23:00Z</dcterms:created>
  <dcterms:modified xsi:type="dcterms:W3CDTF">2021-06-10T14:24:00Z</dcterms:modified>
</cp:coreProperties>
</file>