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052A51">
              <w:rPr>
                <w:b/>
                <w:sz w:val="24"/>
                <w:szCs w:val="24"/>
              </w:rPr>
              <w:t>06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185D4A" w:rsidP="00EB3CA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GESTÃO DE </w:t>
            </w:r>
            <w:r w:rsidR="00052A51">
              <w:rPr>
                <w:rFonts w:ascii="Times New Roman" w:hAnsi="Times New Roman"/>
                <w:szCs w:val="24"/>
              </w:rPr>
              <w:t xml:space="preserve">CONFORMIDADE DO </w:t>
            </w:r>
            <w:r w:rsidR="00EB3CAD">
              <w:rPr>
                <w:rFonts w:ascii="Times New Roman" w:hAnsi="Times New Roman"/>
                <w:szCs w:val="24"/>
              </w:rPr>
              <w:t>PROJETO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7A2626" w:rsidRDefault="007A2626" w:rsidP="007A2626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Default="00691C19" w:rsidP="00E711EF">
      <w:pPr>
        <w:pStyle w:val="Recuodecorpodetexto2"/>
        <w:ind w:firstLine="1349"/>
      </w:pPr>
      <w:r w:rsidRPr="00EA7FFC">
        <w:t xml:space="preserve">Descrever as atividades relacionadas </w:t>
      </w:r>
      <w:r w:rsidR="005B68D5" w:rsidRPr="00EA7FFC">
        <w:t xml:space="preserve">ao processo de </w:t>
      </w:r>
      <w:r w:rsidR="00185D4A">
        <w:t>certificação</w:t>
      </w:r>
      <w:r w:rsidR="003A46D7">
        <w:t>, ou qualificação,</w:t>
      </w:r>
      <w:r w:rsidR="00185D4A">
        <w:t xml:space="preserve"> de PAEM.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Pr="000720DB">
        <w:t>Esta norma, de observância obrigatória, aplica-se</w:t>
      </w:r>
      <w:r w:rsidR="003552AE" w:rsidRPr="000720DB">
        <w:t xml:space="preserve"> à </w:t>
      </w:r>
      <w:r w:rsidR="005B68D5" w:rsidRPr="000720DB">
        <w:t>Subdivisão de Qualificação (N</w:t>
      </w:r>
      <w:r w:rsidR="00EA7FFC" w:rsidRPr="000720DB">
        <w:t>QUA</w:t>
      </w:r>
      <w:r w:rsidR="005B68D5" w:rsidRPr="000720DB">
        <w:t xml:space="preserve">), Subdivisão Técnica (NTEC), </w:t>
      </w:r>
      <w:r w:rsidR="00EC09FB" w:rsidRPr="000720DB">
        <w:t>Seção de Controle da Qualidade do Produto</w:t>
      </w:r>
      <w:r w:rsidR="0036780A" w:rsidRPr="000720DB">
        <w:t xml:space="preserve"> (NTCQ)</w:t>
      </w:r>
      <w:r w:rsidR="00766E93">
        <w:t>, Seção de Projeto (NTPJ)</w:t>
      </w:r>
      <w:r w:rsidRPr="000720DB">
        <w:t xml:space="preserve"> do C</w:t>
      </w:r>
      <w:r w:rsidR="00E76A7D" w:rsidRPr="000720DB">
        <w:t>entro Logístico da Aeronáutica (CELOG)</w:t>
      </w:r>
      <w:r w:rsidRPr="000720DB"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4216C4" w:rsidRDefault="004216C4" w:rsidP="004216C4">
      <w:pPr>
        <w:keepNext/>
        <w:keepLines/>
        <w:widowControl w:val="0"/>
        <w:rPr>
          <w:sz w:val="24"/>
          <w:szCs w:val="24"/>
          <w:u w:val="single"/>
        </w:rPr>
      </w:pPr>
    </w:p>
    <w:p w:rsidR="00766E93" w:rsidRDefault="004216C4" w:rsidP="004216C4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MACROPROCESSOS</w:t>
      </w:r>
    </w:p>
    <w:p w:rsidR="00D231DD" w:rsidRPr="008009F3" w:rsidRDefault="005B68D5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PLOG000</w:t>
      </w:r>
      <w:r w:rsidR="001F0B5C" w:rsidRPr="00766E93">
        <w:rPr>
          <w:rFonts w:ascii="TimesNewRoman" w:hAnsi="TimesNewRoman" w:cs="TimesNewRoman"/>
          <w:color w:val="000000" w:themeColor="text1"/>
          <w:sz w:val="24"/>
          <w:szCs w:val="24"/>
        </w:rPr>
        <w:t>4</w:t>
      </w:r>
      <w:r w:rsidR="00E43E4B" w:rsidRPr="00766E93">
        <w:rPr>
          <w:rFonts w:ascii="TimesNewRoman" w:hAnsi="TimesNewRoman" w:cs="TimesNewRoman"/>
          <w:color w:val="000000" w:themeColor="text1"/>
          <w:sz w:val="24"/>
          <w:szCs w:val="24"/>
        </w:rPr>
        <w:t>A –</w:t>
      </w:r>
      <w:r w:rsidR="00E43E4B" w:rsidRPr="00766E93">
        <w:rPr>
          <w:rFonts w:ascii="TimesNewRoman" w:hAnsi="TimesNewRoman" w:cs="TimesNewRoman"/>
          <w:sz w:val="24"/>
          <w:szCs w:val="24"/>
        </w:rPr>
        <w:t xml:space="preserve"> </w:t>
      </w:r>
      <w:r w:rsidR="00766E93">
        <w:rPr>
          <w:rFonts w:ascii="TimesNewRoman" w:hAnsi="TimesNewRoman" w:cs="TimesNewRoman"/>
          <w:sz w:val="24"/>
          <w:szCs w:val="24"/>
        </w:rPr>
        <w:t>PROCESSO TÉCNICO DE NACIONALIZAÇÃO</w:t>
      </w:r>
    </w:p>
    <w:p w:rsidR="008009F3" w:rsidRPr="00766E93" w:rsidRDefault="008009F3" w:rsidP="008009F3">
      <w:pPr>
        <w:keepNext/>
        <w:keepLines/>
        <w:widowControl w:val="0"/>
        <w:rPr>
          <w:sz w:val="24"/>
          <w:szCs w:val="24"/>
          <w:u w:val="single"/>
        </w:rPr>
      </w:pPr>
    </w:p>
    <w:p w:rsidR="008009F3" w:rsidRDefault="004216C4" w:rsidP="008009F3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E32DF9" w:rsidRPr="008009F3" w:rsidRDefault="008009F3" w:rsidP="008009F3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PLOG000</w:t>
      </w:r>
      <w:r>
        <w:rPr>
          <w:rFonts w:ascii="TimesNewRoman" w:hAnsi="TimesNewRoman" w:cs="TimesNewRoman"/>
          <w:color w:val="000000" w:themeColor="text1"/>
          <w:sz w:val="24"/>
          <w:szCs w:val="24"/>
        </w:rPr>
        <w:t>8</w:t>
      </w: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A –</w:t>
      </w:r>
      <w:r w:rsidRPr="00766E9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INSPEÇÃO DE MATERIAL NACIONALIZADO</w:t>
      </w:r>
    </w:p>
    <w:p w:rsidR="007A2626" w:rsidRPr="005B2ECD" w:rsidRDefault="007A2626" w:rsidP="00E32DF9">
      <w:pPr>
        <w:keepNext/>
        <w:keepLines/>
        <w:widowControl w:val="0"/>
        <w:rPr>
          <w:sz w:val="24"/>
          <w:szCs w:val="24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B1A0F" w:rsidRDefault="00CB1A0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CAI – Comissão de Análise Inicial.</w:t>
      </w:r>
    </w:p>
    <w:p w:rsidR="00E76A7D" w:rsidRDefault="00CB1A0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CAE – Comissão de Análise Extraordinária.</w:t>
      </w:r>
    </w:p>
    <w:p w:rsidR="00CB1A0F" w:rsidRDefault="00CB1A0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CAF – Comissão de Análise Final.</w:t>
      </w:r>
    </w:p>
    <w:p w:rsidR="00CB1A0F" w:rsidRPr="00EA7FFC" w:rsidRDefault="00CB1A0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CELOG – Centro Logístico da Aeronáutica</w:t>
      </w:r>
      <w:r>
        <w:rPr>
          <w:sz w:val="24"/>
        </w:rPr>
        <w:t>.</w:t>
      </w:r>
    </w:p>
    <w:p w:rsidR="006000AE" w:rsidRDefault="002E4AF5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DCN – Desenho da Comissão</w:t>
      </w:r>
      <w:r w:rsidR="00E32DF9" w:rsidRPr="00EA7FFC">
        <w:rPr>
          <w:sz w:val="24"/>
        </w:rPr>
        <w:t xml:space="preserve"> de Nacionalização</w:t>
      </w:r>
      <w:r w:rsidR="00185D4A">
        <w:rPr>
          <w:sz w:val="24"/>
        </w:rPr>
        <w:t>.</w:t>
      </w:r>
    </w:p>
    <w:p w:rsidR="00185D4A" w:rsidRDefault="00185D4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DCTA – Departamento de Ciência e Tecnologia Aeroespacial.</w:t>
      </w:r>
    </w:p>
    <w:p w:rsidR="00185D4A" w:rsidRPr="00EA7FFC" w:rsidRDefault="00185D4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IFI- Instituto de Fomento Industrial do DCTA.</w:t>
      </w:r>
    </w:p>
    <w:p w:rsidR="00EA7FFC" w:rsidRPr="000720DB" w:rsidRDefault="00EA7FFC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0720DB">
        <w:rPr>
          <w:sz w:val="24"/>
        </w:rPr>
        <w:t>NQUA – Subdivisão de Qualificação</w:t>
      </w:r>
    </w:p>
    <w:p w:rsidR="00EA7FFC" w:rsidRPr="00EA7FFC" w:rsidRDefault="00EA7FFC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NTEC – Subdivisão Técnica</w:t>
      </w:r>
      <w:r w:rsidR="00185D4A">
        <w:rPr>
          <w:sz w:val="24"/>
        </w:rPr>
        <w:t>.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NTCQ – Seção de Controle da Qualidade do Produto</w:t>
      </w:r>
      <w:r w:rsidR="00185D4A">
        <w:rPr>
          <w:sz w:val="24"/>
        </w:rPr>
        <w:t>.</w:t>
      </w:r>
    </w:p>
    <w:p w:rsidR="0091768E" w:rsidRPr="009B453E" w:rsidRDefault="009B453E" w:rsidP="009B453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  <w:sectPr w:rsidR="0091768E" w:rsidRPr="009B453E" w:rsidSect="007A26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851" w:bottom="851" w:left="1701" w:header="851" w:footer="737" w:gutter="0"/>
          <w:cols w:space="720"/>
          <w:docGrid w:linePitch="272"/>
        </w:sectPr>
      </w:pPr>
      <w:r>
        <w:rPr>
          <w:sz w:val="24"/>
        </w:rPr>
        <w:t>PTN – Processo Técnico de Nacionalização.</w:t>
      </w:r>
    </w:p>
    <w:p w:rsidR="00185D4A" w:rsidRDefault="009B453E" w:rsidP="004216C4">
      <w:pPr>
        <w:pStyle w:val="PargrafodaLista"/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</w:t>
      </w:r>
      <w:r w:rsidR="0091768E" w:rsidRPr="009B453E">
        <w:rPr>
          <w:b/>
          <w:sz w:val="24"/>
          <w:szCs w:val="24"/>
        </w:rPr>
        <w:t>IAGRAMA DE PROCESSO</w:t>
      </w:r>
    </w:p>
    <w:p w:rsidR="005E7142" w:rsidRPr="005E7142" w:rsidRDefault="005E7142" w:rsidP="00EA4EDB">
      <w:pPr>
        <w:pStyle w:val="PargrafodaLista"/>
        <w:keepNext/>
        <w:keepLines/>
        <w:widowControl w:val="0"/>
        <w:rPr>
          <w:b/>
          <w:sz w:val="24"/>
          <w:szCs w:val="24"/>
        </w:rPr>
      </w:pPr>
    </w:p>
    <w:p w:rsidR="005E7142" w:rsidRPr="00EA4EDB" w:rsidRDefault="0030088D" w:rsidP="00EA4EDB">
      <w:pPr>
        <w:keepNext/>
        <w:keepLines/>
        <w:widowControl w:val="0"/>
        <w:rPr>
          <w:b/>
          <w:sz w:val="24"/>
          <w:szCs w:val="24"/>
        </w:rPr>
        <w:sectPr w:rsidR="005E7142" w:rsidRPr="00EA4EDB" w:rsidSect="009742EA">
          <w:pgSz w:w="16840" w:h="11907" w:orient="landscape" w:code="9"/>
          <w:pgMar w:top="851" w:right="851" w:bottom="1701" w:left="85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077113" cy="5367647"/>
            <wp:effectExtent l="19050" t="0" r="0" b="0"/>
            <wp:docPr id="3" name="Imagem 2" descr="PLOG000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6A.png"/>
                    <pic:cNvPicPr/>
                  </pic:nvPicPr>
                  <pic:blipFill>
                    <a:blip r:embed="rId15"/>
                    <a:srcRect b="11800"/>
                    <a:stretch>
                      <a:fillRect/>
                    </a:stretch>
                  </pic:blipFill>
                  <pic:spPr>
                    <a:xfrm>
                      <a:off x="0" y="0"/>
                      <a:ext cx="6077113" cy="53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EA7FFC" w:rsidRPr="001D78C0" w:rsidRDefault="009742EA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processo em tela visa atender as condições estabelecidas na DCA 800-2</w:t>
      </w:r>
      <w:r w:rsidR="009B453E">
        <w:rPr>
          <w:sz w:val="24"/>
          <w:szCs w:val="24"/>
        </w:rPr>
        <w:t>.</w:t>
      </w:r>
    </w:p>
    <w:p w:rsidR="00860714" w:rsidRDefault="002D3BD2" w:rsidP="00860714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8009F3">
        <w:rPr>
          <w:sz w:val="24"/>
          <w:szCs w:val="24"/>
        </w:rPr>
        <w:t xml:space="preserve"> Processo de Gestão de Conformidade do Projeto verificará o cumprimento dos requisitos estabelecidos no processo de Elaboração de Projeto, </w:t>
      </w:r>
      <w:r>
        <w:rPr>
          <w:sz w:val="24"/>
          <w:szCs w:val="24"/>
        </w:rPr>
        <w:t xml:space="preserve">sendo que, pelo fim do processo, </w:t>
      </w:r>
      <w:r w:rsidR="00CB0426">
        <w:rPr>
          <w:sz w:val="24"/>
          <w:szCs w:val="24"/>
        </w:rPr>
        <w:t>tem-se um projeto</w:t>
      </w:r>
      <w:r w:rsidR="008009F3">
        <w:rPr>
          <w:sz w:val="24"/>
          <w:szCs w:val="24"/>
        </w:rPr>
        <w:t xml:space="preserve"> de item </w:t>
      </w:r>
      <w:r w:rsidR="00CB0426">
        <w:rPr>
          <w:sz w:val="24"/>
          <w:szCs w:val="24"/>
        </w:rPr>
        <w:t xml:space="preserve">adequado </w:t>
      </w:r>
      <w:r w:rsidR="00B5353C">
        <w:rPr>
          <w:sz w:val="24"/>
          <w:szCs w:val="24"/>
        </w:rPr>
        <w:t xml:space="preserve">e seguro </w:t>
      </w:r>
      <w:r w:rsidR="00CB0426">
        <w:rPr>
          <w:sz w:val="24"/>
          <w:szCs w:val="24"/>
        </w:rPr>
        <w:t>ao emprego nas plataformas e sistemas aeronáuticos</w:t>
      </w:r>
      <w:r w:rsidR="00B5353C">
        <w:rPr>
          <w:sz w:val="24"/>
          <w:szCs w:val="24"/>
        </w:rPr>
        <w:t xml:space="preserve"> da FAB.</w:t>
      </w:r>
    </w:p>
    <w:p w:rsidR="005B260A" w:rsidRDefault="001F0B5C" w:rsidP="00860714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Controle de Q</w:t>
      </w:r>
      <w:r w:rsidR="00B5353C">
        <w:rPr>
          <w:sz w:val="24"/>
          <w:szCs w:val="24"/>
        </w:rPr>
        <w:t>ualidade do</w:t>
      </w:r>
      <w:r>
        <w:rPr>
          <w:sz w:val="24"/>
          <w:szCs w:val="24"/>
        </w:rPr>
        <w:t xml:space="preserve"> primeiro lote de um projeto de nacionalização, ou seja, em fase de Processo Técnico de Nacionalização faz parte do escopo do presente processo</w:t>
      </w:r>
      <w:r w:rsidR="005B260A">
        <w:rPr>
          <w:sz w:val="24"/>
          <w:szCs w:val="24"/>
        </w:rPr>
        <w:t xml:space="preserve">, sendo </w:t>
      </w:r>
      <w:r w:rsidR="003A5282">
        <w:rPr>
          <w:sz w:val="24"/>
          <w:szCs w:val="24"/>
        </w:rPr>
        <w:t>executado</w:t>
      </w:r>
      <w:r w:rsidR="005B260A">
        <w:rPr>
          <w:sz w:val="24"/>
          <w:szCs w:val="24"/>
        </w:rPr>
        <w:t xml:space="preserve"> pela Seção de Controle de Qualidade da Nacionalização, ou por fornecedores contratados e habilitados para isso</w:t>
      </w:r>
      <w:r>
        <w:rPr>
          <w:sz w:val="24"/>
          <w:szCs w:val="24"/>
        </w:rPr>
        <w:t xml:space="preserve">. </w:t>
      </w:r>
    </w:p>
    <w:p w:rsidR="002D3BD2" w:rsidRDefault="005B260A" w:rsidP="002D3BD2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lotes subsequentes não fazem parte do escopo da Gestão de </w:t>
      </w:r>
      <w:r w:rsidR="002D3BD2">
        <w:rPr>
          <w:sz w:val="24"/>
          <w:szCs w:val="24"/>
        </w:rPr>
        <w:t>Conformidade do Projeto</w:t>
      </w:r>
      <w:r w:rsidR="00D04202">
        <w:rPr>
          <w:sz w:val="24"/>
          <w:szCs w:val="24"/>
        </w:rPr>
        <w:t>, com exceção dos que houver reprojeto.</w:t>
      </w:r>
    </w:p>
    <w:p w:rsidR="002D3BD2" w:rsidRDefault="002D3BD2" w:rsidP="002D3BD2">
      <w:pPr>
        <w:keepNext/>
        <w:keepLines/>
        <w:widowControl w:val="0"/>
        <w:spacing w:after="120"/>
        <w:jc w:val="both"/>
        <w:rPr>
          <w:sz w:val="24"/>
          <w:szCs w:val="24"/>
        </w:rPr>
      </w:pPr>
    </w:p>
    <w:p w:rsidR="002D3BD2" w:rsidRDefault="009E1DA0" w:rsidP="002D3BD2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2D3BD2">
        <w:rPr>
          <w:b/>
          <w:sz w:val="24"/>
          <w:szCs w:val="24"/>
        </w:rPr>
        <w:t>ATIVIDADES</w:t>
      </w:r>
      <w:r w:rsidR="002D1856" w:rsidRPr="002D3BD2">
        <w:rPr>
          <w:b/>
          <w:sz w:val="24"/>
          <w:szCs w:val="24"/>
        </w:rPr>
        <w:t xml:space="preserve"> DO PROCESSO</w:t>
      </w:r>
    </w:p>
    <w:p w:rsidR="002D3BD2" w:rsidRPr="002D3BD2" w:rsidRDefault="002D3BD2" w:rsidP="002D3BD2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u w:val="single"/>
          <w:lang w:val="pt-PT"/>
        </w:rPr>
        <w:t>FABRICAR/RETRABALHAR</w:t>
      </w:r>
    </w:p>
    <w:p w:rsidR="00B15C93" w:rsidRPr="00B15C93" w:rsidRDefault="002D3BD2" w:rsidP="002D3BD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 w:rsidRPr="002D3BD2">
        <w:rPr>
          <w:sz w:val="24"/>
          <w:szCs w:val="24"/>
          <w:lang w:val="pt-PT"/>
        </w:rPr>
        <w:t>A Gestão de Conformidade do Projeto inicia-se na fabricação do primeiro produto do PT</w:t>
      </w:r>
      <w:r>
        <w:rPr>
          <w:sz w:val="24"/>
          <w:szCs w:val="24"/>
          <w:lang w:val="pt-PT"/>
        </w:rPr>
        <w:t>N</w:t>
      </w:r>
      <w:r w:rsidRPr="00204460">
        <w:rPr>
          <w:sz w:val="24"/>
          <w:szCs w:val="24"/>
          <w:lang w:val="pt-PT"/>
        </w:rPr>
        <w:t>.</w:t>
      </w:r>
      <w:r w:rsidR="00204460">
        <w:rPr>
          <w:sz w:val="24"/>
          <w:szCs w:val="24"/>
          <w:lang w:val="pt-PT"/>
        </w:rPr>
        <w:t xml:space="preserve"> </w:t>
      </w:r>
    </w:p>
    <w:p w:rsidR="002D3BD2" w:rsidRDefault="00204460" w:rsidP="002D3BD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Quando o controle de qualidade é contratado junto ao fornecedor, haverá uma etapa intermediária de Registro e Compilação de Resultados.</w:t>
      </w:r>
    </w:p>
    <w:p w:rsidR="00204460" w:rsidRDefault="00204460" w:rsidP="00204460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REGISTRO E COMPILAÇÃO DE RESULTADOS</w:t>
      </w:r>
    </w:p>
    <w:p w:rsidR="002D3BD2" w:rsidRPr="00204460" w:rsidRDefault="00204460" w:rsidP="00204460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O fornecedor deverá manter um registro dos resultados das análises e medições relativos ao controle de qualidade, apresentando-os, devidamente assinado</w:t>
      </w:r>
      <w:r w:rsidR="00234AC3">
        <w:rPr>
          <w:sz w:val="24"/>
          <w:szCs w:val="24"/>
          <w:lang w:val="pt-PT"/>
        </w:rPr>
        <w:t>s, à Divisão de Nacionalização a</w:t>
      </w:r>
      <w:r>
        <w:rPr>
          <w:sz w:val="24"/>
          <w:szCs w:val="24"/>
          <w:lang w:val="pt-PT"/>
        </w:rPr>
        <w:t xml:space="preserve"> medida que entregar os produtos contratados.</w:t>
      </w:r>
    </w:p>
    <w:p w:rsidR="002D3BD2" w:rsidRPr="00204460" w:rsidRDefault="00204460" w:rsidP="002D3BD2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u w:val="single"/>
          <w:lang w:val="pt-PT"/>
        </w:rPr>
        <w:t>INSPEÇÃO DE MATERIAL NACIONALIZADO</w:t>
      </w:r>
    </w:p>
    <w:p w:rsidR="00204460" w:rsidRPr="006A1A0D" w:rsidRDefault="006A1A0D" w:rsidP="0020446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Executa-se o </w:t>
      </w: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PLOG000</w:t>
      </w:r>
      <w:r>
        <w:rPr>
          <w:rFonts w:ascii="TimesNewRoman" w:hAnsi="TimesNewRoman" w:cs="TimesNewRoman"/>
          <w:color w:val="000000" w:themeColor="text1"/>
          <w:sz w:val="24"/>
          <w:szCs w:val="24"/>
        </w:rPr>
        <w:t>8</w:t>
      </w:r>
      <w:r w:rsidRPr="00766E93">
        <w:rPr>
          <w:rFonts w:ascii="TimesNewRoman" w:hAnsi="TimesNewRoman" w:cs="TimesNewRoman"/>
          <w:color w:val="000000" w:themeColor="text1"/>
          <w:sz w:val="24"/>
          <w:szCs w:val="24"/>
        </w:rPr>
        <w:t>A –</w:t>
      </w:r>
      <w:r w:rsidRPr="00766E9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INSPEÇÃO DE MATERIAL NACIONALIZADO. Depois de realizado o Controle de Qualidade, </w:t>
      </w:r>
      <w:r w:rsidR="00674267">
        <w:rPr>
          <w:rFonts w:ascii="TimesNewRoman" w:hAnsi="TimesNewRoman" w:cs="TimesNewRoman"/>
          <w:sz w:val="24"/>
          <w:szCs w:val="24"/>
        </w:rPr>
        <w:t>uma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674267">
        <w:rPr>
          <w:rFonts w:ascii="TimesNewRoman" w:hAnsi="TimesNewRoman" w:cs="TimesNewRoman"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 xml:space="preserve">omissões </w:t>
      </w:r>
      <w:r w:rsidR="00674267">
        <w:rPr>
          <w:rFonts w:ascii="TimesNewRoman" w:hAnsi="TimesNewRoman" w:cs="TimesNewRoman"/>
          <w:sz w:val="24"/>
          <w:szCs w:val="24"/>
        </w:rPr>
        <w:t>T</w:t>
      </w:r>
      <w:r>
        <w:rPr>
          <w:rFonts w:ascii="TimesNewRoman" w:hAnsi="TimesNewRoman" w:cs="TimesNewRoman"/>
          <w:sz w:val="24"/>
          <w:szCs w:val="24"/>
        </w:rPr>
        <w:t>écnica avalia se o produto requer retrabalho por alguma não-conformidade ao projeto.</w:t>
      </w:r>
    </w:p>
    <w:p w:rsidR="006A1A0D" w:rsidRPr="006A1A0D" w:rsidRDefault="006A1A0D" w:rsidP="0020446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Decidindo pelo retrabalho, o produto retorna ao fornecedor.</w:t>
      </w:r>
    </w:p>
    <w:p w:rsidR="006A1A0D" w:rsidRPr="006A1A0D" w:rsidRDefault="006A1A0D" w:rsidP="0020446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Decidindo-se pelo prosseguimento, inicia-se uma etapa de avaliação experimental.</w:t>
      </w:r>
    </w:p>
    <w:p w:rsidR="006A1A0D" w:rsidRDefault="006A1A0D" w:rsidP="006A1A0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6A1A0D">
        <w:rPr>
          <w:sz w:val="24"/>
          <w:szCs w:val="24"/>
          <w:u w:val="single"/>
          <w:lang w:val="pt-PT"/>
        </w:rPr>
        <w:t>AVALIAR EXPERIMENTALMENTE POR QUALIFICAÇÃO</w:t>
      </w:r>
    </w:p>
    <w:p w:rsidR="006A1A0D" w:rsidRPr="00674267" w:rsidRDefault="00674267" w:rsidP="006A1A0D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Para o produto a ser Qualificado, a</w:t>
      </w:r>
      <w:r w:rsidR="006A1A0D">
        <w:rPr>
          <w:sz w:val="24"/>
          <w:szCs w:val="24"/>
          <w:lang w:val="pt-PT"/>
        </w:rPr>
        <w:t xml:space="preserve"> Comissão Técnic</w:t>
      </w:r>
      <w:r>
        <w:rPr>
          <w:sz w:val="24"/>
          <w:szCs w:val="24"/>
          <w:lang w:val="pt-PT"/>
        </w:rPr>
        <w:t>a requer à NTEC a execução, ou coordenação, de ensaios que comparem</w:t>
      </w:r>
      <w:r w:rsidR="006A1A0D" w:rsidRPr="006A1A0D">
        <w:rPr>
          <w:sz w:val="24"/>
          <w:szCs w:val="24"/>
          <w:lang w:val="pt-PT"/>
        </w:rPr>
        <w:t xml:space="preserve"> parâmetros </w:t>
      </w:r>
      <w:r>
        <w:rPr>
          <w:sz w:val="24"/>
          <w:szCs w:val="24"/>
          <w:lang w:val="pt-PT"/>
        </w:rPr>
        <w:t xml:space="preserve">técnicos de desempenho, estabelecidos na Elaboração do Projeto, </w:t>
      </w:r>
      <w:r w:rsidR="006A1A0D" w:rsidRPr="006A1A0D">
        <w:rPr>
          <w:sz w:val="24"/>
          <w:szCs w:val="24"/>
          <w:lang w:val="pt-PT"/>
        </w:rPr>
        <w:t xml:space="preserve">do </w:t>
      </w:r>
      <w:r>
        <w:rPr>
          <w:sz w:val="24"/>
          <w:szCs w:val="24"/>
          <w:lang w:val="pt-PT"/>
        </w:rPr>
        <w:t>produto nacionalizado ao</w:t>
      </w:r>
      <w:r w:rsidR="006A1A0D" w:rsidRPr="006A1A0D">
        <w:rPr>
          <w:sz w:val="24"/>
          <w:szCs w:val="24"/>
          <w:lang w:val="pt-PT"/>
        </w:rPr>
        <w:t xml:space="preserve"> original.</w:t>
      </w:r>
    </w:p>
    <w:p w:rsidR="00674267" w:rsidRPr="00674267" w:rsidRDefault="00674267" w:rsidP="0067426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6A1A0D">
        <w:rPr>
          <w:sz w:val="24"/>
          <w:szCs w:val="24"/>
          <w:u w:val="single"/>
          <w:lang w:val="pt-PT"/>
        </w:rPr>
        <w:t xml:space="preserve">AVALIAR EXPERIMENTALMENTE POR </w:t>
      </w:r>
      <w:r>
        <w:rPr>
          <w:sz w:val="24"/>
          <w:szCs w:val="24"/>
          <w:u w:val="single"/>
          <w:lang w:val="pt-PT"/>
        </w:rPr>
        <w:t>CERTIFICAÇÃO</w:t>
      </w:r>
    </w:p>
    <w:p w:rsidR="00207E63" w:rsidRDefault="00674267" w:rsidP="00207E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o produto a ser Certificado, a Comissão Técnica requer à NTEC a execução, ou coordenação, de ensaios de desempenho </w:t>
      </w:r>
      <w:r w:rsidR="00207E63">
        <w:rPr>
          <w:sz w:val="24"/>
          <w:szCs w:val="24"/>
          <w:lang w:val="pt-PT"/>
        </w:rPr>
        <w:t>do item pela experimentação de um conjunto montado</w:t>
      </w:r>
      <w:r>
        <w:rPr>
          <w:sz w:val="24"/>
          <w:szCs w:val="24"/>
          <w:lang w:val="pt-PT"/>
        </w:rPr>
        <w:t xml:space="preserve">, conforme </w:t>
      </w:r>
      <w:r w:rsidR="00207E63" w:rsidRPr="000430AA">
        <w:rPr>
          <w:sz w:val="24"/>
          <w:szCs w:val="24"/>
          <w:lang w:val="pt-PT"/>
        </w:rPr>
        <w:t>plano de ensaios</w:t>
      </w:r>
      <w:r>
        <w:rPr>
          <w:sz w:val="24"/>
          <w:szCs w:val="24"/>
          <w:lang w:val="pt-PT"/>
        </w:rPr>
        <w:t xml:space="preserve"> estabelecido</w:t>
      </w:r>
      <w:r w:rsidR="00207E63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n</w:t>
      </w:r>
      <w:r w:rsidR="00207E63">
        <w:rPr>
          <w:sz w:val="24"/>
          <w:szCs w:val="24"/>
          <w:lang w:val="pt-PT"/>
        </w:rPr>
        <w:t>o PTN.</w:t>
      </w:r>
    </w:p>
    <w:p w:rsidR="00207E63" w:rsidRPr="00207E63" w:rsidRDefault="00207E63" w:rsidP="00207E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ELABORAR CAE</w:t>
      </w:r>
    </w:p>
    <w:p w:rsidR="00C10000" w:rsidRDefault="00207E63" w:rsidP="00C1000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o desempenho do </w:t>
      </w:r>
      <w:r w:rsidR="00C10000">
        <w:rPr>
          <w:sz w:val="24"/>
          <w:szCs w:val="24"/>
          <w:lang w:val="pt-PT"/>
        </w:rPr>
        <w:t>primeiro produto</w:t>
      </w:r>
      <w:r>
        <w:rPr>
          <w:sz w:val="24"/>
          <w:szCs w:val="24"/>
          <w:lang w:val="pt-PT"/>
        </w:rPr>
        <w:t xml:space="preserve"> seja inadequado, ou seja, não cumpre os requisitos</w:t>
      </w:r>
      <w:r w:rsidR="00C10000">
        <w:rPr>
          <w:sz w:val="24"/>
          <w:szCs w:val="24"/>
          <w:lang w:val="pt-PT"/>
        </w:rPr>
        <w:t xml:space="preserve"> iniciais e requer </w:t>
      </w:r>
      <w:r>
        <w:rPr>
          <w:sz w:val="24"/>
          <w:szCs w:val="24"/>
          <w:lang w:val="pt-PT"/>
        </w:rPr>
        <w:t>ajustes d</w:t>
      </w:r>
      <w:r w:rsidR="00C10000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projeto, a Comissão Técnica reune, </w:t>
      </w:r>
      <w:r w:rsidR="00C10000">
        <w:rPr>
          <w:sz w:val="24"/>
          <w:szCs w:val="24"/>
          <w:lang w:val="pt-PT"/>
        </w:rPr>
        <w:t xml:space="preserve">decide sobre o que ajustar no projeto, registra e assina em ata, conforme modelo do </w:t>
      </w:r>
      <w:r w:rsidR="00C10000" w:rsidRPr="000430AA">
        <w:rPr>
          <w:sz w:val="24"/>
          <w:szCs w:val="24"/>
          <w:lang w:val="pt-PT"/>
        </w:rPr>
        <w:t>Anexo A</w:t>
      </w:r>
      <w:r w:rsidR="00C10000">
        <w:rPr>
          <w:sz w:val="24"/>
          <w:szCs w:val="24"/>
          <w:lang w:val="pt-PT"/>
        </w:rPr>
        <w:t>.</w:t>
      </w:r>
    </w:p>
    <w:p w:rsidR="00207E63" w:rsidRDefault="00C10000" w:rsidP="00C1000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À partir disso,</w:t>
      </w:r>
      <w:r w:rsidRPr="00C10000">
        <w:rPr>
          <w:sz w:val="24"/>
          <w:szCs w:val="24"/>
          <w:lang w:val="pt-PT"/>
        </w:rPr>
        <w:t xml:space="preserve"> inicia</w:t>
      </w:r>
      <w:r>
        <w:rPr>
          <w:sz w:val="24"/>
          <w:szCs w:val="24"/>
          <w:lang w:val="pt-PT"/>
        </w:rPr>
        <w:t>-se</w:t>
      </w:r>
      <w:r w:rsidRPr="00C10000">
        <w:rPr>
          <w:sz w:val="24"/>
          <w:szCs w:val="24"/>
          <w:lang w:val="pt-PT"/>
        </w:rPr>
        <w:t xml:space="preserve"> um ciclo de instrução do PTN</w:t>
      </w:r>
      <w:r w:rsidR="00234AC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 ajuste </w:t>
      </w:r>
      <w:r w:rsidRPr="00C10000">
        <w:rPr>
          <w:sz w:val="24"/>
          <w:szCs w:val="24"/>
          <w:lang w:val="pt-PT"/>
        </w:rPr>
        <w:t>do projeto</w:t>
      </w:r>
      <w:r w:rsidR="00234AC3">
        <w:rPr>
          <w:sz w:val="24"/>
          <w:szCs w:val="24"/>
          <w:lang w:val="pt-PT"/>
        </w:rPr>
        <w:t xml:space="preserve">, e de retrabalho ou nova fabricação. </w:t>
      </w:r>
    </w:p>
    <w:p w:rsidR="00C10000" w:rsidRPr="00C10000" w:rsidRDefault="00C10000" w:rsidP="00B15C9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ABERTURA DOCUMENTAL E ANEXAÇÃO EM PTN</w:t>
      </w:r>
    </w:p>
    <w:p w:rsidR="00C10000" w:rsidRPr="00C10000" w:rsidRDefault="00C10000" w:rsidP="00B15C9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rFonts w:ascii="TimesNewRoman" w:hAnsi="TimesNewRoman" w:cs="TimesNewRoman"/>
          <w:sz w:val="24"/>
          <w:szCs w:val="24"/>
        </w:rPr>
        <w:t>Executa-se o PLOG0016A – ABERTURA DOCUMENTAL E ANEXAÇÃO EM PTN, arquivando-se a ata da Comissão Técnica no PTN.</w:t>
      </w:r>
    </w:p>
    <w:p w:rsidR="00C10000" w:rsidRPr="00C10000" w:rsidRDefault="00C10000" w:rsidP="00B15C9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CADASTRO, EDIÇÃO E ARQUIVAMENTO DE DESENHO</w:t>
      </w:r>
    </w:p>
    <w:p w:rsidR="00C10000" w:rsidRDefault="00C10000" w:rsidP="00B15C93">
      <w:pPr>
        <w:keepNext/>
        <w:keepLines/>
        <w:widowControl w:val="0"/>
        <w:numPr>
          <w:ilvl w:val="2"/>
          <w:numId w:val="1"/>
        </w:num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Executa-se o </w:t>
      </w:r>
      <w:r w:rsidRPr="00380973">
        <w:rPr>
          <w:rFonts w:ascii="TimesNewRoman" w:hAnsi="TimesNewRoman" w:cs="TimesNewRoman"/>
          <w:sz w:val="24"/>
          <w:szCs w:val="24"/>
        </w:rPr>
        <w:t>PLOG0018A – CADASTRO, EDICÃO E ARQUIVAMENTO DE DESENHOS</w:t>
      </w:r>
      <w:r w:rsidR="00B15C93">
        <w:rPr>
          <w:rFonts w:ascii="TimesNewRoman" w:hAnsi="TimesNewRoman" w:cs="TimesNewRoman"/>
          <w:sz w:val="24"/>
          <w:szCs w:val="24"/>
        </w:rPr>
        <w:t>, e os requisitos são implementados pelo NTPJ.</w:t>
      </w:r>
    </w:p>
    <w:p w:rsidR="00B15C93" w:rsidRDefault="00B15C93" w:rsidP="00B15C93">
      <w:pPr>
        <w:keepNext/>
        <w:keepLines/>
        <w:widowControl w:val="0"/>
        <w:jc w:val="both"/>
        <w:rPr>
          <w:rFonts w:ascii="TimesNewRoman" w:hAnsi="TimesNewRoman" w:cs="TimesNewRoman"/>
          <w:sz w:val="24"/>
          <w:szCs w:val="24"/>
        </w:rPr>
      </w:pPr>
    </w:p>
    <w:p w:rsidR="00B15C93" w:rsidRPr="00B15C93" w:rsidRDefault="00B15C93" w:rsidP="00B15C9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B15C93">
        <w:rPr>
          <w:sz w:val="24"/>
          <w:szCs w:val="24"/>
          <w:u w:val="single"/>
          <w:lang w:val="pt-PT"/>
        </w:rPr>
        <w:t>ENCAMINHAR PROJETO ALTERADO AO FORNECEDOR</w:t>
      </w:r>
    </w:p>
    <w:p w:rsidR="00C10000" w:rsidRPr="00B15C93" w:rsidRDefault="00C10000" w:rsidP="00C1000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r w:rsidR="00B15C93">
        <w:rPr>
          <w:rFonts w:ascii="TimesNewRoman" w:hAnsi="TimesNewRoman" w:cs="TimesNewRoman"/>
          <w:sz w:val="24"/>
          <w:szCs w:val="24"/>
        </w:rPr>
        <w:tab/>
      </w:r>
      <w:r w:rsidR="00B15C93">
        <w:rPr>
          <w:rFonts w:ascii="TimesNewRoman" w:hAnsi="TimesNewRoman" w:cs="TimesNewRoman"/>
          <w:sz w:val="24"/>
          <w:szCs w:val="24"/>
        </w:rPr>
        <w:tab/>
        <w:t>A NTPJ encaminha o projeto alterado ao fornecedor, para início de um retrabalho ou nova fabricação</w:t>
      </w:r>
      <w:r w:rsidR="00234AC3">
        <w:rPr>
          <w:rFonts w:ascii="TimesNewRoman" w:hAnsi="TimesNewRoman" w:cs="TimesNewRoman"/>
          <w:sz w:val="24"/>
          <w:szCs w:val="24"/>
        </w:rPr>
        <w:t>.</w:t>
      </w:r>
    </w:p>
    <w:p w:rsidR="00B15C93" w:rsidRDefault="00B15C93" w:rsidP="00234AC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B15C93">
        <w:rPr>
          <w:sz w:val="24"/>
          <w:szCs w:val="24"/>
          <w:u w:val="single"/>
          <w:lang w:val="pt-PT"/>
        </w:rPr>
        <w:t>SUBMETER AO IFI ALTERAÇÃO DE REQUISITOS OU AÇÕES CORRETIVAS</w:t>
      </w:r>
    </w:p>
    <w:p w:rsidR="00234AC3" w:rsidRPr="00234AC3" w:rsidRDefault="00234AC3" w:rsidP="00234AC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Para os processos de Certificação, requer-se a aprovação pelo IFI da alteração de requisitos, ou das ações corretivas, propostos pela Comissão Técnica.</w:t>
      </w:r>
    </w:p>
    <w:p w:rsidR="00234AC3" w:rsidRPr="00234AC3" w:rsidRDefault="00234AC3" w:rsidP="00234AC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Pela aprovação do IFI, inicia-se um ciclo de instrução do PTN, ajuste do projeto e de retrabalho, ou nova fabricação.</w:t>
      </w:r>
    </w:p>
    <w:p w:rsidR="00234AC3" w:rsidRDefault="00234AC3" w:rsidP="00234AC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ELABORAR CAF</w:t>
      </w:r>
    </w:p>
    <w:p w:rsidR="00234AC3" w:rsidRDefault="00234AC3" w:rsidP="00234AC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34AC3">
        <w:rPr>
          <w:sz w:val="24"/>
          <w:szCs w:val="24"/>
          <w:lang w:val="pt-PT"/>
        </w:rPr>
        <w:t xml:space="preserve">Pelo cumprimento de requisitos, </w:t>
      </w:r>
      <w:r>
        <w:rPr>
          <w:sz w:val="24"/>
          <w:szCs w:val="24"/>
          <w:lang w:val="pt-PT"/>
        </w:rPr>
        <w:t>e com a ratificação, em ata, de todo o processo pela Comissão Técnica, tem-se um projeto Certificado ou Qualificado.</w:t>
      </w:r>
    </w:p>
    <w:p w:rsidR="00234AC3" w:rsidRDefault="00234AC3" w:rsidP="00234AC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234AC3">
        <w:rPr>
          <w:sz w:val="24"/>
          <w:szCs w:val="24"/>
          <w:lang w:val="pt-PT"/>
        </w:rPr>
        <w:t xml:space="preserve"> </w:t>
      </w:r>
      <w:r w:rsidR="00386C0A">
        <w:rPr>
          <w:sz w:val="24"/>
          <w:szCs w:val="24"/>
          <w:u w:val="single"/>
          <w:lang w:val="pt-PT"/>
        </w:rPr>
        <w:t>SUBMETER</w:t>
      </w:r>
      <w:r w:rsidR="000430AA">
        <w:rPr>
          <w:sz w:val="24"/>
          <w:szCs w:val="24"/>
          <w:u w:val="single"/>
          <w:lang w:val="pt-PT"/>
        </w:rPr>
        <w:t xml:space="preserve"> PROJETO À APROVAÇÃO DO IFI</w:t>
      </w:r>
    </w:p>
    <w:p w:rsidR="00386C0A" w:rsidRDefault="00386C0A" w:rsidP="00386C0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386C0A">
        <w:rPr>
          <w:sz w:val="24"/>
          <w:szCs w:val="24"/>
          <w:lang w:val="pt-PT"/>
        </w:rPr>
        <w:t xml:space="preserve">A NQUA elabora um </w:t>
      </w:r>
      <w:r>
        <w:rPr>
          <w:sz w:val="24"/>
          <w:szCs w:val="24"/>
          <w:lang w:val="pt-PT"/>
        </w:rPr>
        <w:t>ofício ao IFI, anexando o PTN, contendo o parecer da Comissão Técnica, pelo cumprimento dos requisitos de projeto.</w:t>
      </w:r>
    </w:p>
    <w:p w:rsidR="00386C0A" w:rsidRPr="00386C0A" w:rsidRDefault="00386C0A" w:rsidP="00386C0A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EMITIR CERTIFICADO</w:t>
      </w:r>
    </w:p>
    <w:p w:rsidR="00386C0A" w:rsidRDefault="00386C0A" w:rsidP="00386C0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386C0A">
        <w:rPr>
          <w:sz w:val="24"/>
          <w:szCs w:val="24"/>
          <w:lang w:val="pt-PT"/>
        </w:rPr>
        <w:t>O IFI</w:t>
      </w:r>
      <w:r>
        <w:rPr>
          <w:sz w:val="24"/>
          <w:szCs w:val="24"/>
          <w:lang w:val="pt-PT"/>
        </w:rPr>
        <w:t>, por sua aprovação, emite certificado para o projeto nacionalizado.</w:t>
      </w:r>
    </w:p>
    <w:p w:rsidR="000430AA" w:rsidRDefault="00386C0A" w:rsidP="000430A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contrário, faz apontamentos sobre não conformidade de projeto, e apresenta ofício resposta ao CELOG, iniciando um ciclo de retificação de projeto.</w:t>
      </w:r>
    </w:p>
    <w:p w:rsidR="000430AA" w:rsidRDefault="003565F4" w:rsidP="000430AA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0430AA">
        <w:rPr>
          <w:b/>
          <w:sz w:val="24"/>
          <w:szCs w:val="24"/>
        </w:rPr>
        <w:t xml:space="preserve">DISPOSIÇÕES </w:t>
      </w:r>
      <w:r w:rsidR="006000AE" w:rsidRPr="000430AA">
        <w:rPr>
          <w:b/>
          <w:sz w:val="24"/>
          <w:szCs w:val="24"/>
        </w:rPr>
        <w:t>FINAIS</w:t>
      </w:r>
    </w:p>
    <w:p w:rsidR="000430AA" w:rsidRDefault="000E06B5" w:rsidP="000430AA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0430AA">
        <w:rPr>
          <w:sz w:val="24"/>
          <w:szCs w:val="24"/>
        </w:rPr>
        <w:t>O</w:t>
      </w:r>
      <w:r w:rsidR="006000AE" w:rsidRPr="000430AA">
        <w:rPr>
          <w:sz w:val="24"/>
          <w:szCs w:val="24"/>
        </w:rPr>
        <w:t xml:space="preserve"> presente </w:t>
      </w:r>
      <w:r w:rsidRPr="000430AA">
        <w:rPr>
          <w:sz w:val="24"/>
          <w:szCs w:val="24"/>
        </w:rPr>
        <w:t>processo</w:t>
      </w:r>
      <w:r w:rsidR="006000AE" w:rsidRPr="000430AA">
        <w:rPr>
          <w:sz w:val="24"/>
          <w:szCs w:val="24"/>
        </w:rPr>
        <w:t xml:space="preserve"> entrará em vigor na data de sua efetivação</w:t>
      </w:r>
      <w:r w:rsidR="00385279" w:rsidRPr="000430AA">
        <w:rPr>
          <w:sz w:val="24"/>
          <w:szCs w:val="24"/>
        </w:rPr>
        <w:t>.</w:t>
      </w:r>
      <w:r w:rsidR="006000AE" w:rsidRPr="000430AA">
        <w:rPr>
          <w:sz w:val="24"/>
          <w:szCs w:val="24"/>
        </w:rPr>
        <w:t xml:space="preserve"> </w:t>
      </w:r>
    </w:p>
    <w:p w:rsidR="000430AA" w:rsidRDefault="000E06B5" w:rsidP="000430AA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0430AA">
        <w:rPr>
          <w:sz w:val="24"/>
          <w:szCs w:val="24"/>
        </w:rPr>
        <w:t xml:space="preserve">O </w:t>
      </w:r>
      <w:r w:rsidR="006000AE" w:rsidRPr="000430AA">
        <w:rPr>
          <w:sz w:val="24"/>
          <w:szCs w:val="24"/>
        </w:rPr>
        <w:t>prese</w:t>
      </w:r>
      <w:r w:rsidR="00215E6E" w:rsidRPr="000430AA">
        <w:rPr>
          <w:sz w:val="24"/>
          <w:szCs w:val="24"/>
        </w:rPr>
        <w:t xml:space="preserve">nte </w:t>
      </w:r>
      <w:r w:rsidRPr="000430AA">
        <w:rPr>
          <w:sz w:val="24"/>
          <w:szCs w:val="24"/>
        </w:rPr>
        <w:t xml:space="preserve">processo </w:t>
      </w:r>
      <w:r w:rsidR="002E32BA" w:rsidRPr="000430AA">
        <w:rPr>
          <w:sz w:val="24"/>
          <w:szCs w:val="24"/>
        </w:rPr>
        <w:t xml:space="preserve">não </w:t>
      </w:r>
      <w:r w:rsidR="00215E6E" w:rsidRPr="000430AA">
        <w:rPr>
          <w:sz w:val="24"/>
          <w:szCs w:val="24"/>
        </w:rPr>
        <w:t xml:space="preserve">substitui </w:t>
      </w:r>
      <w:r w:rsidRPr="000430AA">
        <w:rPr>
          <w:sz w:val="24"/>
          <w:szCs w:val="24"/>
        </w:rPr>
        <w:t>processo</w:t>
      </w:r>
      <w:r w:rsidR="002E32BA" w:rsidRPr="000430AA">
        <w:rPr>
          <w:sz w:val="24"/>
          <w:szCs w:val="24"/>
        </w:rPr>
        <w:t xml:space="preserve"> anterior</w:t>
      </w:r>
      <w:r w:rsidR="00385279" w:rsidRPr="000430AA">
        <w:rPr>
          <w:sz w:val="24"/>
          <w:szCs w:val="24"/>
        </w:rPr>
        <w:t>.</w:t>
      </w:r>
    </w:p>
    <w:p w:rsidR="006000AE" w:rsidRPr="000430AA" w:rsidRDefault="006000AE" w:rsidP="000430AA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0430AA">
        <w:rPr>
          <w:sz w:val="24"/>
          <w:szCs w:val="24"/>
        </w:rPr>
        <w:t>Os casos não previstos nest</w:t>
      </w:r>
      <w:r w:rsidR="000E06B5" w:rsidRPr="000430AA">
        <w:rPr>
          <w:sz w:val="24"/>
          <w:szCs w:val="24"/>
        </w:rPr>
        <w:t>e processo</w:t>
      </w:r>
      <w:r w:rsidRPr="000430AA">
        <w:rPr>
          <w:sz w:val="24"/>
          <w:szCs w:val="24"/>
        </w:rPr>
        <w:t xml:space="preserve"> serão resolvidos pelo </w:t>
      </w:r>
      <w:r w:rsidR="000E06B5" w:rsidRPr="000430AA">
        <w:rPr>
          <w:sz w:val="24"/>
          <w:szCs w:val="24"/>
        </w:rPr>
        <w:t>Chefe da NNAQ</w:t>
      </w:r>
      <w:r w:rsidRPr="000430AA">
        <w:rPr>
          <w:sz w:val="24"/>
          <w:szCs w:val="24"/>
        </w:rPr>
        <w:t>.</w:t>
      </w:r>
    </w:p>
    <w:p w:rsidR="006000AE" w:rsidRDefault="006000AE" w:rsidP="003A5282">
      <w:pPr>
        <w:autoSpaceDE w:val="0"/>
        <w:autoSpaceDN w:val="0"/>
        <w:adjustRightInd w:val="0"/>
        <w:jc w:val="both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40EFC" w:rsidP="00925010">
      <w:pPr>
        <w:ind w:right="71"/>
        <w:jc w:val="center"/>
        <w:rPr>
          <w:color w:val="000000"/>
          <w:sz w:val="24"/>
          <w:szCs w:val="24"/>
        </w:rPr>
      </w:pPr>
      <w:r w:rsidRPr="00E40EFC"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 xml:space="preserve"> </w:t>
      </w:r>
      <w:r w:rsidR="005621AC">
        <w:rPr>
          <w:b/>
          <w:color w:val="000000"/>
          <w:sz w:val="24"/>
          <w:szCs w:val="24"/>
        </w:rPr>
        <w:t xml:space="preserve">GALDIANO </w:t>
      </w:r>
      <w:r w:rsidR="005621AC">
        <w:rPr>
          <w:color w:val="000000"/>
          <w:sz w:val="24"/>
          <w:szCs w:val="24"/>
        </w:rPr>
        <w:t>Cap</w:t>
      </w:r>
      <w:r w:rsidR="00925010" w:rsidRPr="00CB76D9">
        <w:rPr>
          <w:color w:val="000000"/>
          <w:sz w:val="24"/>
          <w:szCs w:val="24"/>
        </w:rPr>
        <w:t xml:space="preserve"> </w:t>
      </w:r>
      <w:r w:rsidR="00C1384A"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5621AC">
        <w:rPr>
          <w:color w:val="000000"/>
          <w:sz w:val="24"/>
          <w:szCs w:val="24"/>
        </w:rPr>
        <w:t>Subdivisão de Certificação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0430AA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 por</w:t>
      </w:r>
      <w:r w:rsidR="00925010" w:rsidRPr="001B75BD">
        <w:rPr>
          <w:color w:val="000000"/>
          <w:sz w:val="24"/>
          <w:szCs w:val="24"/>
        </w:rPr>
        <w:t>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5621AC" w:rsidP="00385B4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Cel Eng</w:t>
      </w:r>
    </w:p>
    <w:p w:rsidR="00925010" w:rsidRPr="008E73BA" w:rsidRDefault="005621AC" w:rsidP="00385B4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Chefe da Divisão de Nacionalização</w:t>
      </w:r>
    </w:p>
    <w:p w:rsidR="00925010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8521B4" w:rsidRDefault="008521B4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0430AA" w:rsidP="00925010">
      <w:pPr>
        <w:keepNext/>
        <w:keepLines/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Aprovado por</w:t>
      </w:r>
      <w:r w:rsidR="00925010" w:rsidRPr="001B75BD">
        <w:rPr>
          <w:color w:val="000000"/>
          <w:sz w:val="24"/>
          <w:szCs w:val="24"/>
        </w:rPr>
        <w:t>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7A2626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0C2DDC" w:rsidRDefault="007A2626" w:rsidP="000430AA">
      <w:pPr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Pr="007A2626">
        <w:rPr>
          <w:b/>
          <w:color w:val="000000"/>
          <w:sz w:val="24"/>
          <w:szCs w:val="24"/>
        </w:rPr>
        <w:lastRenderedPageBreak/>
        <w:t>ANEXO A</w:t>
      </w:r>
    </w:p>
    <w:p w:rsidR="000430AA" w:rsidRDefault="000430AA" w:rsidP="000430AA">
      <w:pPr>
        <w:jc w:val="center"/>
        <w:rPr>
          <w:b/>
          <w:color w:val="000000"/>
          <w:sz w:val="24"/>
          <w:szCs w:val="24"/>
        </w:rPr>
      </w:pPr>
    </w:p>
    <w:p w:rsidR="000430AA" w:rsidRPr="000430AA" w:rsidRDefault="000430AA" w:rsidP="000430AA">
      <w:pP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867275" cy="67341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30AA" w:rsidRPr="000430AA" w:rsidSect="00707772"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B38" w:rsidRDefault="00B64B38">
      <w:r>
        <w:separator/>
      </w:r>
    </w:p>
  </w:endnote>
  <w:endnote w:type="continuationSeparator" w:id="1">
    <w:p w:rsidR="00B64B38" w:rsidRDefault="00B64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29236"/>
      <w:docPartObj>
        <w:docPartGallery w:val="Page Numbers (Top of Page)"/>
        <w:docPartUnique/>
      </w:docPartObj>
    </w:sdtPr>
    <w:sdtContent>
      <w:p w:rsidR="00386C0A" w:rsidRDefault="00386C0A" w:rsidP="005C0655">
        <w:pPr>
          <w:pStyle w:val="Rodap"/>
          <w:jc w:val="right"/>
        </w:pPr>
        <w:r>
          <w:t xml:space="preserve">Página </w:t>
        </w:r>
        <w:r w:rsidR="001C4B4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1C4B4C">
          <w:rPr>
            <w:b/>
            <w:sz w:val="24"/>
            <w:szCs w:val="24"/>
          </w:rPr>
          <w:fldChar w:fldCharType="separate"/>
        </w:r>
        <w:r w:rsidR="00720E04">
          <w:rPr>
            <w:b/>
            <w:noProof/>
          </w:rPr>
          <w:t>2</w:t>
        </w:r>
        <w:r w:rsidR="001C4B4C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1C4B4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1C4B4C">
          <w:rPr>
            <w:b/>
            <w:sz w:val="24"/>
            <w:szCs w:val="24"/>
          </w:rPr>
          <w:fldChar w:fldCharType="separate"/>
        </w:r>
        <w:r w:rsidR="00720E04">
          <w:rPr>
            <w:b/>
            <w:noProof/>
          </w:rPr>
          <w:t>5</w:t>
        </w:r>
        <w:r w:rsidR="001C4B4C">
          <w:rPr>
            <w:b/>
            <w:sz w:val="24"/>
            <w:szCs w:val="24"/>
          </w:rPr>
          <w:fldChar w:fldCharType="end"/>
        </w:r>
      </w:p>
    </w:sdtContent>
  </w:sdt>
  <w:p w:rsidR="00386C0A" w:rsidRDefault="00386C0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1C4B4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86C0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86C0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86C0A" w:rsidRDefault="00386C0A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 w:rsidP="007829E4">
    <w:pPr>
      <w:pStyle w:val="Rodap"/>
      <w:jc w:val="right"/>
    </w:pPr>
    <w:r>
      <w:t xml:space="preserve">Página </w:t>
    </w:r>
    <w:r w:rsidR="001C4B4C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4B4C">
      <w:rPr>
        <w:b/>
        <w:sz w:val="24"/>
        <w:szCs w:val="24"/>
      </w:rPr>
      <w:fldChar w:fldCharType="separate"/>
    </w:r>
    <w:r w:rsidR="00720E04">
      <w:rPr>
        <w:b/>
        <w:noProof/>
      </w:rPr>
      <w:t>6</w:t>
    </w:r>
    <w:r w:rsidR="001C4B4C">
      <w:rPr>
        <w:b/>
        <w:sz w:val="24"/>
        <w:szCs w:val="24"/>
      </w:rPr>
      <w:fldChar w:fldCharType="end"/>
    </w:r>
    <w:r>
      <w:t xml:space="preserve"> de </w:t>
    </w:r>
    <w:r w:rsidR="001C4B4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4B4C">
      <w:rPr>
        <w:b/>
        <w:sz w:val="24"/>
        <w:szCs w:val="24"/>
      </w:rPr>
      <w:fldChar w:fldCharType="separate"/>
    </w:r>
    <w:r w:rsidR="00720E04">
      <w:rPr>
        <w:b/>
        <w:noProof/>
      </w:rPr>
      <w:t>6</w:t>
    </w:r>
    <w:r w:rsidR="001C4B4C">
      <w:rPr>
        <w:b/>
        <w:sz w:val="24"/>
        <w:szCs w:val="24"/>
      </w:rPr>
      <w:fldChar w:fldCharType="end"/>
    </w:r>
  </w:p>
  <w:p w:rsidR="00386C0A" w:rsidRDefault="00386C0A" w:rsidP="003E69CA">
    <w:pPr>
      <w:pStyle w:val="Rodap"/>
      <w:ind w:left="360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 w:rsidP="00972A33">
    <w:pPr>
      <w:pStyle w:val="Rodap"/>
      <w:jc w:val="right"/>
    </w:pPr>
    <w:r>
      <w:t xml:space="preserve">Página </w:t>
    </w:r>
    <w:r w:rsidR="001C4B4C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4B4C">
      <w:rPr>
        <w:b/>
        <w:sz w:val="24"/>
        <w:szCs w:val="24"/>
      </w:rPr>
      <w:fldChar w:fldCharType="separate"/>
    </w:r>
    <w:r w:rsidR="00720E04">
      <w:rPr>
        <w:b/>
        <w:noProof/>
      </w:rPr>
      <w:t>3</w:t>
    </w:r>
    <w:r w:rsidR="001C4B4C">
      <w:rPr>
        <w:b/>
        <w:sz w:val="24"/>
        <w:szCs w:val="24"/>
      </w:rPr>
      <w:fldChar w:fldCharType="end"/>
    </w:r>
    <w:r>
      <w:t xml:space="preserve"> de </w:t>
    </w:r>
    <w:r w:rsidR="001C4B4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4B4C">
      <w:rPr>
        <w:b/>
        <w:sz w:val="24"/>
        <w:szCs w:val="24"/>
      </w:rPr>
      <w:fldChar w:fldCharType="separate"/>
    </w:r>
    <w:r w:rsidR="00720E04">
      <w:rPr>
        <w:b/>
        <w:noProof/>
      </w:rPr>
      <w:t>5</w:t>
    </w:r>
    <w:r w:rsidR="001C4B4C">
      <w:rPr>
        <w:b/>
        <w:sz w:val="24"/>
        <w:szCs w:val="24"/>
      </w:rPr>
      <w:fldChar w:fldCharType="end"/>
    </w:r>
  </w:p>
  <w:p w:rsidR="00386C0A" w:rsidRDefault="00386C0A">
    <w:pPr>
      <w:pStyle w:val="Rodap"/>
      <w:jc w:val="right"/>
    </w:pPr>
  </w:p>
  <w:p w:rsidR="00386C0A" w:rsidRDefault="00386C0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B38" w:rsidRDefault="00B64B38">
      <w:r>
        <w:separator/>
      </w:r>
    </w:p>
  </w:footnote>
  <w:footnote w:type="continuationSeparator" w:id="1">
    <w:p w:rsidR="00B64B38" w:rsidRDefault="00B64B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 w:rsidP="007A2626">
    <w:pPr>
      <w:pStyle w:val="Cabealho"/>
      <w:tabs>
        <w:tab w:val="clear" w:pos="4320"/>
        <w:tab w:val="clear" w:pos="8640"/>
        <w:tab w:val="left" w:pos="795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A" w:rsidRDefault="00386C0A">
    <w:pPr>
      <w:pStyle w:val="Cabealho"/>
      <w:jc w:val="right"/>
    </w:pPr>
  </w:p>
  <w:p w:rsidR="00386C0A" w:rsidRPr="00CD7E89" w:rsidRDefault="00386C0A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4F00A8C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1554775"/>
    <w:multiLevelType w:val="multilevel"/>
    <w:tmpl w:val="2C8C7A3C"/>
    <w:numStyleLink w:val="Estilo1"/>
  </w:abstractNum>
  <w:abstractNum w:abstractNumId="28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0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67335C"/>
    <w:multiLevelType w:val="multilevel"/>
    <w:tmpl w:val="2C8C7A3C"/>
    <w:numStyleLink w:val="Estilo1"/>
  </w:abstractNum>
  <w:abstractNum w:abstractNumId="33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4"/>
  </w:num>
  <w:num w:numId="7">
    <w:abstractNumId w:val="9"/>
  </w:num>
  <w:num w:numId="8">
    <w:abstractNumId w:val="30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8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1"/>
  </w:num>
  <w:num w:numId="19">
    <w:abstractNumId w:val="19"/>
  </w:num>
  <w:num w:numId="20">
    <w:abstractNumId w:val="28"/>
  </w:num>
  <w:num w:numId="21">
    <w:abstractNumId w:val="11"/>
  </w:num>
  <w:num w:numId="22">
    <w:abstractNumId w:val="20"/>
  </w:num>
  <w:num w:numId="23">
    <w:abstractNumId w:val="3"/>
  </w:num>
  <w:num w:numId="24">
    <w:abstractNumId w:val="29"/>
  </w:num>
  <w:num w:numId="25">
    <w:abstractNumId w:val="33"/>
  </w:num>
  <w:num w:numId="26">
    <w:abstractNumId w:val="12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32"/>
  </w:num>
  <w:num w:numId="33">
    <w:abstractNumId w:val="13"/>
  </w:num>
  <w:num w:numId="34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start w:val="1"/>
        <w:numFmt w:val="lowerLetter"/>
        <w:lvlText w:val="%6"/>
        <w:lvlJc w:val="left"/>
        <w:pPr>
          <w:tabs>
            <w:tab w:val="num" w:pos="2160"/>
          </w:tabs>
          <w:ind w:left="2160" w:hanging="175"/>
        </w:pPr>
        <w:rPr>
          <w:rFonts w:ascii="Times New Roman" w:hAnsi="Times New Roman" w:hint="default"/>
          <w:b w:val="0"/>
          <w:i w:val="0"/>
          <w:color w:val="auto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0AA"/>
    <w:rsid w:val="00052A51"/>
    <w:rsid w:val="00053FE8"/>
    <w:rsid w:val="00054989"/>
    <w:rsid w:val="00057F59"/>
    <w:rsid w:val="000720DB"/>
    <w:rsid w:val="000744D1"/>
    <w:rsid w:val="00075AC4"/>
    <w:rsid w:val="0007784B"/>
    <w:rsid w:val="000816E2"/>
    <w:rsid w:val="000822B8"/>
    <w:rsid w:val="000855C7"/>
    <w:rsid w:val="00085BAF"/>
    <w:rsid w:val="00086679"/>
    <w:rsid w:val="00090CAF"/>
    <w:rsid w:val="00091C14"/>
    <w:rsid w:val="000920A9"/>
    <w:rsid w:val="00093182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38D9"/>
    <w:rsid w:val="000E405F"/>
    <w:rsid w:val="000E43F3"/>
    <w:rsid w:val="000E6E8F"/>
    <w:rsid w:val="000F504D"/>
    <w:rsid w:val="00104ED7"/>
    <w:rsid w:val="00112032"/>
    <w:rsid w:val="00120144"/>
    <w:rsid w:val="00123325"/>
    <w:rsid w:val="001233BC"/>
    <w:rsid w:val="00126B26"/>
    <w:rsid w:val="00133075"/>
    <w:rsid w:val="00133E14"/>
    <w:rsid w:val="00140757"/>
    <w:rsid w:val="001454C6"/>
    <w:rsid w:val="0015164B"/>
    <w:rsid w:val="00173FB7"/>
    <w:rsid w:val="001836F9"/>
    <w:rsid w:val="00185D4A"/>
    <w:rsid w:val="00191FBC"/>
    <w:rsid w:val="00192DCA"/>
    <w:rsid w:val="001930D8"/>
    <w:rsid w:val="001B64CB"/>
    <w:rsid w:val="001C4B4C"/>
    <w:rsid w:val="001D096F"/>
    <w:rsid w:val="001D6D5B"/>
    <w:rsid w:val="001D78C0"/>
    <w:rsid w:val="001E59EE"/>
    <w:rsid w:val="001F01BA"/>
    <w:rsid w:val="001F0B5C"/>
    <w:rsid w:val="00204460"/>
    <w:rsid w:val="00207E63"/>
    <w:rsid w:val="00210E03"/>
    <w:rsid w:val="002121F2"/>
    <w:rsid w:val="002129A3"/>
    <w:rsid w:val="00212D5D"/>
    <w:rsid w:val="00213587"/>
    <w:rsid w:val="00215E6E"/>
    <w:rsid w:val="002300F6"/>
    <w:rsid w:val="002305EE"/>
    <w:rsid w:val="002322D0"/>
    <w:rsid w:val="00234AC3"/>
    <w:rsid w:val="00241D7B"/>
    <w:rsid w:val="002462FE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95697"/>
    <w:rsid w:val="002A0230"/>
    <w:rsid w:val="002A47D5"/>
    <w:rsid w:val="002A4880"/>
    <w:rsid w:val="002A52E7"/>
    <w:rsid w:val="002B1355"/>
    <w:rsid w:val="002B43AD"/>
    <w:rsid w:val="002B5203"/>
    <w:rsid w:val="002B7788"/>
    <w:rsid w:val="002D1856"/>
    <w:rsid w:val="002D3BD2"/>
    <w:rsid w:val="002D4378"/>
    <w:rsid w:val="002D4C33"/>
    <w:rsid w:val="002D636A"/>
    <w:rsid w:val="002D6B07"/>
    <w:rsid w:val="002D74C2"/>
    <w:rsid w:val="002E0B24"/>
    <w:rsid w:val="002E32BA"/>
    <w:rsid w:val="002E4AF5"/>
    <w:rsid w:val="002F70C1"/>
    <w:rsid w:val="0030088D"/>
    <w:rsid w:val="0030469B"/>
    <w:rsid w:val="003102BF"/>
    <w:rsid w:val="00311424"/>
    <w:rsid w:val="00321C35"/>
    <w:rsid w:val="003272B1"/>
    <w:rsid w:val="00327847"/>
    <w:rsid w:val="00327B98"/>
    <w:rsid w:val="00331709"/>
    <w:rsid w:val="00333FE0"/>
    <w:rsid w:val="00336F18"/>
    <w:rsid w:val="00346B5F"/>
    <w:rsid w:val="003524F3"/>
    <w:rsid w:val="00354948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86C0A"/>
    <w:rsid w:val="00394786"/>
    <w:rsid w:val="003967D4"/>
    <w:rsid w:val="00397862"/>
    <w:rsid w:val="003A3E5C"/>
    <w:rsid w:val="003A46D7"/>
    <w:rsid w:val="003A4DBA"/>
    <w:rsid w:val="003A5282"/>
    <w:rsid w:val="003B0DF0"/>
    <w:rsid w:val="003B688C"/>
    <w:rsid w:val="003C34FE"/>
    <w:rsid w:val="003C75C0"/>
    <w:rsid w:val="003E10A9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15E7B"/>
    <w:rsid w:val="004216C4"/>
    <w:rsid w:val="0042676B"/>
    <w:rsid w:val="00430F2B"/>
    <w:rsid w:val="004322A9"/>
    <w:rsid w:val="004357FA"/>
    <w:rsid w:val="00444BF5"/>
    <w:rsid w:val="00444E9C"/>
    <w:rsid w:val="00446599"/>
    <w:rsid w:val="004513E3"/>
    <w:rsid w:val="004602ED"/>
    <w:rsid w:val="00460837"/>
    <w:rsid w:val="00462014"/>
    <w:rsid w:val="00462B64"/>
    <w:rsid w:val="00462E8C"/>
    <w:rsid w:val="00472707"/>
    <w:rsid w:val="00473636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26B3"/>
    <w:rsid w:val="00525258"/>
    <w:rsid w:val="00527B38"/>
    <w:rsid w:val="00532C29"/>
    <w:rsid w:val="00535517"/>
    <w:rsid w:val="00546E34"/>
    <w:rsid w:val="00547F41"/>
    <w:rsid w:val="005568EC"/>
    <w:rsid w:val="00556D58"/>
    <w:rsid w:val="00560A18"/>
    <w:rsid w:val="005621AC"/>
    <w:rsid w:val="00573135"/>
    <w:rsid w:val="00577FE4"/>
    <w:rsid w:val="005804E3"/>
    <w:rsid w:val="00586D80"/>
    <w:rsid w:val="005957AF"/>
    <w:rsid w:val="00596223"/>
    <w:rsid w:val="005A2C17"/>
    <w:rsid w:val="005A6C9A"/>
    <w:rsid w:val="005B260A"/>
    <w:rsid w:val="005B2ECD"/>
    <w:rsid w:val="005B301F"/>
    <w:rsid w:val="005B3FDE"/>
    <w:rsid w:val="005B49BF"/>
    <w:rsid w:val="005B68D5"/>
    <w:rsid w:val="005C0655"/>
    <w:rsid w:val="005C2561"/>
    <w:rsid w:val="005C4F11"/>
    <w:rsid w:val="005D2D3A"/>
    <w:rsid w:val="005D6341"/>
    <w:rsid w:val="005E2554"/>
    <w:rsid w:val="005E3FC0"/>
    <w:rsid w:val="005E7142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12D1"/>
    <w:rsid w:val="00633440"/>
    <w:rsid w:val="00633EBB"/>
    <w:rsid w:val="00635741"/>
    <w:rsid w:val="00637C6F"/>
    <w:rsid w:val="00643299"/>
    <w:rsid w:val="00646254"/>
    <w:rsid w:val="006501ED"/>
    <w:rsid w:val="00652CA0"/>
    <w:rsid w:val="00653933"/>
    <w:rsid w:val="00666DBB"/>
    <w:rsid w:val="00672EE1"/>
    <w:rsid w:val="00673CE3"/>
    <w:rsid w:val="00674267"/>
    <w:rsid w:val="00680116"/>
    <w:rsid w:val="00680BDF"/>
    <w:rsid w:val="00681C56"/>
    <w:rsid w:val="00682A74"/>
    <w:rsid w:val="00686D8D"/>
    <w:rsid w:val="00691C19"/>
    <w:rsid w:val="006939FA"/>
    <w:rsid w:val="006A0243"/>
    <w:rsid w:val="006A10AC"/>
    <w:rsid w:val="006A1A0D"/>
    <w:rsid w:val="006A69E8"/>
    <w:rsid w:val="006A6F12"/>
    <w:rsid w:val="006C1B98"/>
    <w:rsid w:val="006C45C7"/>
    <w:rsid w:val="006D0DE5"/>
    <w:rsid w:val="006D18FD"/>
    <w:rsid w:val="006D198E"/>
    <w:rsid w:val="006E2D2E"/>
    <w:rsid w:val="006E307E"/>
    <w:rsid w:val="006F165F"/>
    <w:rsid w:val="00700D92"/>
    <w:rsid w:val="00702CD5"/>
    <w:rsid w:val="00703F41"/>
    <w:rsid w:val="00705E34"/>
    <w:rsid w:val="00707772"/>
    <w:rsid w:val="0071091F"/>
    <w:rsid w:val="00720E04"/>
    <w:rsid w:val="00725BE6"/>
    <w:rsid w:val="00727A96"/>
    <w:rsid w:val="00731B3C"/>
    <w:rsid w:val="00734896"/>
    <w:rsid w:val="00741C6D"/>
    <w:rsid w:val="0074245F"/>
    <w:rsid w:val="00746B48"/>
    <w:rsid w:val="00754A04"/>
    <w:rsid w:val="00755557"/>
    <w:rsid w:val="0075675A"/>
    <w:rsid w:val="007579AE"/>
    <w:rsid w:val="00763119"/>
    <w:rsid w:val="00766048"/>
    <w:rsid w:val="00766E93"/>
    <w:rsid w:val="00773541"/>
    <w:rsid w:val="007765A0"/>
    <w:rsid w:val="007829E4"/>
    <w:rsid w:val="00787E7F"/>
    <w:rsid w:val="00792580"/>
    <w:rsid w:val="00793825"/>
    <w:rsid w:val="00793F42"/>
    <w:rsid w:val="007A2626"/>
    <w:rsid w:val="007B58C4"/>
    <w:rsid w:val="007C47E3"/>
    <w:rsid w:val="007C7C50"/>
    <w:rsid w:val="007D138D"/>
    <w:rsid w:val="007D2C56"/>
    <w:rsid w:val="007D38AB"/>
    <w:rsid w:val="007D4E32"/>
    <w:rsid w:val="007E08CC"/>
    <w:rsid w:val="007E3572"/>
    <w:rsid w:val="007E4419"/>
    <w:rsid w:val="007E7EAF"/>
    <w:rsid w:val="007F19D7"/>
    <w:rsid w:val="007F469C"/>
    <w:rsid w:val="007F53C3"/>
    <w:rsid w:val="007F5847"/>
    <w:rsid w:val="007F7749"/>
    <w:rsid w:val="008009F3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21B4"/>
    <w:rsid w:val="008534BF"/>
    <w:rsid w:val="00860714"/>
    <w:rsid w:val="0086555D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97D30"/>
    <w:rsid w:val="008A0150"/>
    <w:rsid w:val="008A1E2E"/>
    <w:rsid w:val="008A4229"/>
    <w:rsid w:val="008B490C"/>
    <w:rsid w:val="008B56FC"/>
    <w:rsid w:val="008B75C5"/>
    <w:rsid w:val="008C0CB3"/>
    <w:rsid w:val="008C1C26"/>
    <w:rsid w:val="008C6050"/>
    <w:rsid w:val="008C64A6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37E2"/>
    <w:rsid w:val="00925010"/>
    <w:rsid w:val="00925132"/>
    <w:rsid w:val="00935206"/>
    <w:rsid w:val="009455F2"/>
    <w:rsid w:val="0094643D"/>
    <w:rsid w:val="00960AF1"/>
    <w:rsid w:val="00972A33"/>
    <w:rsid w:val="009742EA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53E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E71D6"/>
    <w:rsid w:val="009F221F"/>
    <w:rsid w:val="009F599C"/>
    <w:rsid w:val="009F7C31"/>
    <w:rsid w:val="00A10B1D"/>
    <w:rsid w:val="00A146F5"/>
    <w:rsid w:val="00A14864"/>
    <w:rsid w:val="00A158D7"/>
    <w:rsid w:val="00A164DD"/>
    <w:rsid w:val="00A16C00"/>
    <w:rsid w:val="00A306D2"/>
    <w:rsid w:val="00A37987"/>
    <w:rsid w:val="00A41D49"/>
    <w:rsid w:val="00A42309"/>
    <w:rsid w:val="00A43430"/>
    <w:rsid w:val="00A45C78"/>
    <w:rsid w:val="00A4641B"/>
    <w:rsid w:val="00A47FCC"/>
    <w:rsid w:val="00A5169E"/>
    <w:rsid w:val="00A5474B"/>
    <w:rsid w:val="00A57FD5"/>
    <w:rsid w:val="00A6081C"/>
    <w:rsid w:val="00A82FDA"/>
    <w:rsid w:val="00A93667"/>
    <w:rsid w:val="00A957E1"/>
    <w:rsid w:val="00A964B5"/>
    <w:rsid w:val="00AB435B"/>
    <w:rsid w:val="00AD10B8"/>
    <w:rsid w:val="00AD12CC"/>
    <w:rsid w:val="00AD75A4"/>
    <w:rsid w:val="00AE0304"/>
    <w:rsid w:val="00AE19F5"/>
    <w:rsid w:val="00AE2F37"/>
    <w:rsid w:val="00AF0BD7"/>
    <w:rsid w:val="00AF1808"/>
    <w:rsid w:val="00AF23AF"/>
    <w:rsid w:val="00AF260A"/>
    <w:rsid w:val="00AF2F03"/>
    <w:rsid w:val="00AF605E"/>
    <w:rsid w:val="00AF64CF"/>
    <w:rsid w:val="00B00288"/>
    <w:rsid w:val="00B01EDB"/>
    <w:rsid w:val="00B048CD"/>
    <w:rsid w:val="00B148CA"/>
    <w:rsid w:val="00B15C93"/>
    <w:rsid w:val="00B31F0B"/>
    <w:rsid w:val="00B330EE"/>
    <w:rsid w:val="00B35B36"/>
    <w:rsid w:val="00B474C9"/>
    <w:rsid w:val="00B47651"/>
    <w:rsid w:val="00B52DB3"/>
    <w:rsid w:val="00B5353C"/>
    <w:rsid w:val="00B60DD0"/>
    <w:rsid w:val="00B64B38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70F9"/>
    <w:rsid w:val="00BE1F74"/>
    <w:rsid w:val="00BE2B06"/>
    <w:rsid w:val="00BE60BC"/>
    <w:rsid w:val="00BF6B22"/>
    <w:rsid w:val="00C02E50"/>
    <w:rsid w:val="00C1000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2759"/>
    <w:rsid w:val="00C63853"/>
    <w:rsid w:val="00C67475"/>
    <w:rsid w:val="00C72F3F"/>
    <w:rsid w:val="00C91587"/>
    <w:rsid w:val="00C97302"/>
    <w:rsid w:val="00CA0318"/>
    <w:rsid w:val="00CA17A6"/>
    <w:rsid w:val="00CA3E89"/>
    <w:rsid w:val="00CA7304"/>
    <w:rsid w:val="00CB0426"/>
    <w:rsid w:val="00CB1A0F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04202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64199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D0D4F"/>
    <w:rsid w:val="00DE04BD"/>
    <w:rsid w:val="00DE23EF"/>
    <w:rsid w:val="00DE4EFA"/>
    <w:rsid w:val="00DE5089"/>
    <w:rsid w:val="00DE5387"/>
    <w:rsid w:val="00DF2364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0EFC"/>
    <w:rsid w:val="00E433D2"/>
    <w:rsid w:val="00E43E4B"/>
    <w:rsid w:val="00E50A1A"/>
    <w:rsid w:val="00E50B1B"/>
    <w:rsid w:val="00E50C3D"/>
    <w:rsid w:val="00E711EF"/>
    <w:rsid w:val="00E7295F"/>
    <w:rsid w:val="00E76A7D"/>
    <w:rsid w:val="00E770CA"/>
    <w:rsid w:val="00E77A91"/>
    <w:rsid w:val="00E81ED3"/>
    <w:rsid w:val="00E83356"/>
    <w:rsid w:val="00E84BE7"/>
    <w:rsid w:val="00E8513A"/>
    <w:rsid w:val="00E95223"/>
    <w:rsid w:val="00EA4EDB"/>
    <w:rsid w:val="00EA7FFC"/>
    <w:rsid w:val="00EB26DF"/>
    <w:rsid w:val="00EB3CAD"/>
    <w:rsid w:val="00EB5C99"/>
    <w:rsid w:val="00EC09FB"/>
    <w:rsid w:val="00EC657A"/>
    <w:rsid w:val="00EC696A"/>
    <w:rsid w:val="00EC71E6"/>
    <w:rsid w:val="00ED56AE"/>
    <w:rsid w:val="00EF5856"/>
    <w:rsid w:val="00EF5E0D"/>
    <w:rsid w:val="00EF689D"/>
    <w:rsid w:val="00F047B5"/>
    <w:rsid w:val="00F12434"/>
    <w:rsid w:val="00F16EA7"/>
    <w:rsid w:val="00F209B7"/>
    <w:rsid w:val="00F2161F"/>
    <w:rsid w:val="00F4305A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0655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5D9A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0822B8"/>
    <w:rPr>
      <w:color w:val="0000FF" w:themeColor="hyperlink"/>
      <w:u w:val="single"/>
    </w:rPr>
  </w:style>
  <w:style w:type="numbering" w:customStyle="1" w:styleId="Estilo1">
    <w:name w:val="Estilo1"/>
    <w:uiPriority w:val="99"/>
    <w:rsid w:val="00394786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EB83-AA09-40B5-8C60-922817BB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2021-07-29T14:49:00Z</dcterms:created>
  <dcterms:modified xsi:type="dcterms:W3CDTF">2021-07-29T14:49:00Z</dcterms:modified>
</cp:coreProperties>
</file>