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 xml:space="preserve">Compte rendu : facteurs freinant la croissance économique marocaine en 2027</w:t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Source : Haut-Commissariat au Plan (HCP), Budget économique exploratoire 2027 — relayé par Medias24</w:t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1. Contexte général</w:t>
      </w:r>
    </w:p>
    <w:p>
      <w:pPr>
        <w:spacing w:after="100"/>
      </w:pPr>
      <w:r>
        <w:rPr>
          <w:sz w:val="21"/>
          <w:szCs w:val="21"/>
        </w:rPr>
        <w:t xml:space="preserve">Selon le HCP, la croissance du PIB marocain devrait ralentir à 3,0% en 2027, après 4,8% en 2026. Ce ralentissement s'explique principalement par le retour à une campagne agricole moyenne, après une année 2025-2026 exceptionnellement favorable qui avait porté la valeur ajoutée agricole à un niveau difficilement reproductible.</w:t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2. Facteurs qui freinent la croissance en 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1400"/>
        <w:gridCol w:w="3860"/>
      </w:tblGrid>
      <w:tr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Facteur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2026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W w:type="dxa" w:w="38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Analyse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Valeur ajoutée agricole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+19,1%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-6,8%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Chute nette liée à un effet de base après une récolte exceptionnelle.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Investissement brut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+9,5%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+4,8%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Ralentissement net du rythme d'investissement par rapport à 2026.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Déficit du compte courant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3,9% du PIB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3,6% du PIB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Amélioration marginale ; niveau encore élevé, pèse sur les réserves de change.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Déficit budgétaire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3,4% du PIB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3,2% du PIB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Amélioration marginale ; limite les marges de manœuvre de l'État.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Dette du Trésor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65,8% du PIB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65,2% du PIB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Recul limité ; le stock de dette reste élevé et pèse sur le service de la dette.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PIB réel (résultat global)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+4,8%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+3,0%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Synthèse du ralentissement global (-1,8 point).</w:t>
            </w:r>
          </w:p>
        </w:tc>
      </w:tr>
    </w:tbl>
    <w:p>
      <w:pPr>
        <w:spacing w:after="150" w:before="120"/>
      </w:pPr>
      <w:r>
        <w:rPr>
          <w:b/>
          <w:bCs/>
          <w:i/>
          <w:iCs/>
          <w:sz w:val="19"/>
          <w:szCs w:val="19"/>
        </w:rPr>
        <w:t xml:space="preserve">Note méthodologique : </w:t>
      </w:r>
      <w:r>
        <w:rPr>
          <w:i/>
          <w:iCs/>
          <w:sz w:val="19"/>
          <w:szCs w:val="19"/>
        </w:rPr>
        <w:t xml:space="preserve">les déficits et la dette affichent une légère amélioration en valeur, mais restent classés comme freins structurels : une amélioration marginale ne signifie pas une absence de contrainte sur la croissance, tant que leur niveau reste élevé.</w:t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3. Facteurs qui soutiennent la croissance en 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Facteur</w:t>
            </w:r>
          </w:p>
        </w:tc>
        <w:tc>
          <w:tcPr>
            <w:tcW w:type="dxa" w:w="2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2026</w:t>
            </w:r>
          </w:p>
        </w:tc>
        <w:tc>
          <w:tcPr>
            <w:tcW w:type="dxa" w:w="2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PIB non agricole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+3,3%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+4,2%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Taux d'investissement (% du PIB)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35,2%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35,3%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L'économie non agricole (industrie, services, tourisme, transports, grands projets d'infrastructure) accélère et compense partiellement le recul agricole, sans toutefois empêcher le ralentissement global du PIB.</w:t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4. Contexte international aggravant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Tensions géopolitiques (crise du détroit d'Ormuz)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Hausse des coûts de l'énergie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Ralentissement du commerce mondial, pesant sur la demande extérieure adressée au Maroc</w:t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5. Graphique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6. Conclusion</w:t>
      </w:r>
    </w:p>
    <w:p>
      <w:pPr>
        <w:spacing w:after="100"/>
      </w:pPr>
      <w:r>
        <w:rPr>
          <w:sz w:val="21"/>
          <w:szCs w:val="21"/>
        </w:rPr>
        <w:t xml:space="preserve">Le ralentissement de la croissance marocaine en 2027 (4,8% → 3,0%) résulte principalement d'un effet de base agricole, combiné à un essoufflement de l'investissement brut et à des déséquilibres macroéconomiques persistants (déficits et dette élevés, malgré une légère amélioration). Seule l'économie non agricole progresse, sans compenser totalement le choc agricole.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04ac9a3b499a148f7d5d1be7e36f2352fb9ad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2026-10-02T17:02:25.884Z</dcterms:created>
  <dcterms:modified xsi:type="dcterms:W3CDTF">2026-10-02T17:02:25.889Z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