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4"/>
          <w:color w:val="17365D"/>
        </w:rPr>
        <w:t xml:space="preserve">PROJECT REFERENCE DOCUMENT</w:t>
      </w:r>
    </w:p>
    <w:p>
      <w:pPr>
        <w:spacing w:after="180"/>
      </w:pPr>
      <w:r>
        <w:rPr>
          <w:b/>
          <w:sz w:val="48"/>
          <w:color w:val="17365D"/>
        </w:rPr>
        <w:t xml:space="preserve">SalesDecision AI / DecisionIQ</w:t>
      </w:r>
    </w:p>
    <w:p>
      <w:pPr>
        <w:spacing w:after="440"/>
      </w:pPr>
      <w:r>
        <w:rPr>
          <w:sz w:val="26"/>
          <w:color w:val="4F81BD"/>
        </w:rPr>
        <w:t xml:space="preserve">Sales intelligence, decision support and commercial performance platform</w:t>
      </w:r>
    </w:p>
    <w:p>
      <w:pPr>
        <w:spacing w:after="360"/>
      </w:pPr>
      <w:r>
        <w:rPr>
          <w:i/>
          <w:sz w:val="22"/>
        </w:rPr>
        <w:t xml:space="preserve">Purpose: complete project reference for conversion into a PowerPoint presentation</w:t>
      </w:r>
    </w:p>
    <w:p>
      <w:pPr>
        <w:spacing w:after="120"/>
      </w:pPr>
      <w:r>
        <w:rPr>
          <w:sz w:val="20"/>
        </w:rPr>
        <w:t xml:space="preserve">Prepared from the repository evidence available on 13 September 2026.</w:t>
      </w:r>
    </w:p>
    <w:p>
      <w:pPr/>
      <w:r>
        <w:rPr>
          <w:sz w:val="20"/>
          <w:color w:val="7F6000"/>
        </w:rPr>
        <w:t xml:space="preserve">Status note: the repository documents implemented functionality. No approved project charter, named sponsor, dates, headcount, or budget were provided; those items are explicitly labelled as planning assumptions or decisions required.</w:t>
      </w:r>
    </w:p>
    <w:p>
      <w:r>
        <w:br w:type="page"/>
      </w:r>
    </w:p>
    <w:p>
      <w:pPr>
        <w:pStyle w:val="Heading1"/>
      </w:pPr>
      <w:r>
        <w:rPr/>
        <w:t xml:space="preserve">Document control</w:t>
      </w:r>
    </w:p>
    <w:tbl>
      <w:tblPr>
        <w:tblW w:w="0" w:type="auto"/>
        <w:tblLayout w:type="fixed"/>
        <w:tblBorders>
          <w:top w:val="single" w:sz="4" w:color="B7C9DE"/>
          <w:left w:val="single" w:sz="4" w:color="B7C9DE"/>
          <w:bottom w:val="single" w:sz="4" w:color="B7C9DE"/>
          <w:right w:val="single" w:sz="4" w:color="B7C9DE"/>
          <w:insideH w:val="single" w:sz="4" w:color="D9E2F3"/>
          <w:insideV w:val="single" w:sz="4" w:color="D9E2F3"/>
        </w:tblBorders>
      </w:tblPr>
      <w:tblGrid>
        <w:gridCol w:w="4500"/>
        <w:gridCol w:w="4500"/>
      </w:tblGrid>
      <w:tr>
        <w:tc>
          <w:tcPr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Project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SalesDecision AI / Django project package: DecisionIQ</w:t>
            </w:r>
          </w:p>
        </w:tc>
      </w:tr>
      <w:tr>
        <w:tc>
          <w:tcPr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Document purpose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Complete reference document and slide-ready source material</w:t>
            </w:r>
          </w:p>
        </w:tc>
      </w:tr>
      <w:tr>
        <w:tc>
          <w:tcPr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Evidence reviewed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Application code, configuration, recommendation design, assistant audit, deployment guide, QA report, tests and sample CSV files</w:t>
            </w:r>
          </w:p>
        </w:tc>
      </w:tr>
      <w:tr>
        <w:tc>
          <w:tcPr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Language of product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French user interface and operational documentation; this reference is written in English for broader stakeholder use</w:t>
            </w:r>
          </w:p>
        </w:tc>
      </w:tr>
      <w:tr>
        <w:tc>
          <w:tcPr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Known planning gaps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Sponsor, business owner, implementation dates, target data volume, user count, hosting choice, approved budget and procurement terms are not present in the repository</w:t>
            </w:r>
          </w:p>
        </w:tc>
      </w:tr>
    </w:tbl>
    <w:p>
      <w:pPr>
        <w:pStyle w:val="Heading1"/>
      </w:pPr>
      <w:r>
        <w:rPr/>
        <w:t xml:space="preserve">1. Executive summary</w:t>
      </w:r>
    </w:p>
    <w:p>
      <w:pPr/>
      <w:r>
        <w:rPr/>
        <w:t xml:space="preserve">SalesDecision AI is a web application that turns imported sales records into a controlled commercial decision-support workspace. It centralizes sales data, calculates revenue, cost and margin indicators, highlights alert conditions, produces explainable rule-based recommendations, forecasts revenue, and offers a bounded conversational assistant for interpreting results.</w:t>
      </w:r>
    </w:p>
    <w:p>
      <w:pPr/>
      <w:r>
        <w:rPr/>
        <w:t xml:space="preserve">The implemented product is intended for commercial decision-makers, business users who load and explore sales data, and administrators who manage users and security. Its core design principle is traceability: calculated facts remain on the server, recommendations include evidence and confidence, and the assistant receives a limited analytical summary rather than raw transaction lines.</w:t>
      </w:r>
    </w:p>
    <w:tbl>
      <w:tblPr>
        <w:tblW w:w="0" w:type="auto"/>
        <w:tblLayout w:type="fixed"/>
        <w:tblBorders>
          <w:top w:val="single" w:sz="4" w:color="B7C9DE"/>
          <w:left w:val="single" w:sz="4" w:color="B7C9DE"/>
          <w:bottom w:val="single" w:sz="4" w:color="B7C9DE"/>
          <w:right w:val="single" w:sz="4" w:color="B7C9DE"/>
          <w:insideH w:val="single" w:sz="4" w:color="D9E2F3"/>
          <w:insideV w:val="single" w:sz="4" w:color="D9E2F3"/>
        </w:tblBorders>
      </w:tblPr>
      <w:tblGrid>
        <w:gridCol w:w="2000"/>
        <w:gridCol w:w="3600"/>
        <w:gridCol w:w="3400"/>
      </w:tblGrid>
      <w:tr>
        <w:tc>
          <w:tcPr>
            <w:tcW w:w="20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Decision value</w:t>
            </w:r>
          </w:p>
        </w:tc>
        <w:tc>
          <w:tcPr>
            <w:tcW w:w="36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Implemented mechanism</w:t>
            </w:r>
          </w:p>
        </w:tc>
        <w:tc>
          <w:tcPr>
            <w:tcW w:w="34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Why it matters</w:t>
            </w:r>
          </w:p>
        </w:tc>
      </w:tr>
      <w:t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Faster diagnosis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Dashboard filtered by period, client and product; KPI and drill-down views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Reduces manual consolidation before a commercial review</w:t>
            </w:r>
          </w:p>
        </w:tc>
      </w:tr>
      <w:t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Actionable signals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Threshold alerts and ranked recommendations with a proposed action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Moves discussion from observations to next actions</w:t>
            </w:r>
          </w:p>
        </w:tc>
      </w:tr>
      <w:t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Controlled forecasting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ARIMA where history is sufficient; moving-average fallback otherwise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Avoids presenting a fragile forecast as certainty</w:t>
            </w:r>
          </w:p>
        </w:tc>
      </w:tr>
      <w:t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Governed access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Authentication, roles, permissions, password controls and login throttling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Limits access to sales information and administration</w:t>
            </w:r>
          </w:p>
        </w:tc>
      </w:tr>
      <w:t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Assistive analysis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Optional Ollama/OpenAI assistant with bounded context and feedback logging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Supports questions without giving the model direct database access</w:t>
            </w:r>
          </w:p>
        </w:tc>
      </w:tr>
    </w:tbl>
    <w:p>
      <w:pPr>
        <w:pStyle w:val="Heading1"/>
      </w:pPr>
      <w:r>
        <w:rPr/>
        <w:t xml:space="preserve">2. Project context, problem, purpose and users</w:t>
      </w:r>
    </w:p>
    <w:p>
      <w:pPr>
        <w:pStyle w:val="Heading2"/>
      </w:pPr>
      <w:r>
        <w:rPr/>
        <w:t xml:space="preserve">Problem addressed</w:t>
      </w:r>
    </w:p>
    <w:p>
      <w:pPr/>
      <w:r>
        <w:rPr/>
        <w:t xml:space="preserve">Commercial teams commonly receive sales data as periodic spreadsheets. Without a shared analytical workflow, comparing periods, identifying concentration or margin risk, checking forecast variance, and documenting follow-up actions are manual, inconsistent and slow. The project addresses this by providing one operational application for import, analysis, alerts, recommendations and controlled interpretation.</w:t>
      </w:r>
    </w:p>
    <w:p>
      <w:pPr>
        <w:pStyle w:val="Heading2"/>
      </w:pPr>
      <w:r>
        <w:rPr/>
        <w:t xml:space="preserve">Purpose</w:t>
      </w:r>
    </w:p>
    <w:p>
      <w:pPr/>
      <w:r>
        <w:rPr/>
        <w:t xml:space="preserve">Provide a practical decision-support layer over transactional sales data. The purpose is not to replace commercial judgement; it is to make the facts, exceptions, assumptions and suggested follow-up actions visible and reproducible.</w:t>
      </w:r>
    </w:p>
    <w:p>
      <w:pPr>
        <w:pStyle w:val="Heading2"/>
      </w:pPr>
      <w:r>
        <w:rPr/>
        <w:t xml:space="preserve">Target users and responsibilities</w:t>
      </w:r>
    </w:p>
    <w:tbl>
      <w:tblPr>
        <w:tblW w:w="0" w:type="auto"/>
        <w:tblLayout w:type="fixed"/>
        <w:tblBorders>
          <w:top w:val="single" w:sz="4" w:color="B7C9DE"/>
          <w:left w:val="single" w:sz="4" w:color="B7C9DE"/>
          <w:bottom w:val="single" w:sz="4" w:color="B7C9DE"/>
          <w:right w:val="single" w:sz="4" w:color="B7C9DE"/>
          <w:insideH w:val="single" w:sz="4" w:color="D9E2F3"/>
          <w:insideV w:val="single" w:sz="4" w:color="D9E2F3"/>
        </w:tblBorders>
      </w:tblPr>
      <w:tblGrid>
        <w:gridCol w:w="1800"/>
        <w:gridCol w:w="3200"/>
        <w:gridCol w:w="4400"/>
      </w:tblGrid>
      <w:tr>
        <w:tc>
          <w:tcPr>
            <w:tcW w:w="18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User group</w:t>
            </w:r>
          </w:p>
        </w:tc>
        <w:tc>
          <w:tcPr>
            <w:tcW w:w="32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Primary need</w:t>
            </w:r>
          </w:p>
        </w:tc>
        <w:tc>
          <w:tcPr>
            <w:tcW w:w="44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Relevant capability</w:t>
            </w:r>
          </w:p>
        </w:tc>
      </w:tr>
      <w:t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Decision-maker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Review performance and set operational focus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Dashboard, recommendations, forecast, alert-threshold configuration</w:t>
            </w:r>
          </w:p>
        </w:tc>
      </w:tr>
      <w:t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Business user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Load and explore sales records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CSV/Excel import, sales list, dashboard filtering and analysis</w:t>
            </w:r>
          </w:p>
        </w:tc>
      </w:tr>
      <w:t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Administrator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Provision accounts and maintain secure access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User creation, role assignment, password lifecycle and security page</w:t>
            </w:r>
          </w:p>
        </w:tc>
      </w:tr>
      <w:t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Technical/operations team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Deploy, monitor and restore the system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Environment configuration, health endpoint, encrypted backups and production hardening</w:t>
            </w:r>
          </w:p>
        </w:tc>
      </w:tr>
    </w:tbl>
    <w:p>
      <w:pPr/>
      <w:r>
        <w:rPr>
          <w:i/>
          <w:color w:val="7F6000"/>
        </w:rPr>
        <w:t xml:space="preserve">Assumption to validate: the repository establishes role mechanisms, but it does not identify the actual organization, business sponsor, data owner, or the number of users who will operate the system.</w:t>
      </w:r>
    </w:p>
    <w:p>
      <w:pPr>
        <w:pStyle w:val="Heading1"/>
      </w:pPr>
      <w:r>
        <w:rPr/>
        <w:t xml:space="preserve">3. Objectives, scope and exclusions</w:t>
      </w:r>
    </w:p>
    <w:p>
      <w:pPr>
        <w:pStyle w:val="Heading2"/>
      </w:pPr>
      <w:r>
        <w:rPr/>
        <w:t xml:space="preserve">General objective</w:t>
      </w:r>
    </w:p>
    <w:p>
      <w:pPr/>
      <w:r>
        <w:rPr/>
        <w:t xml:space="preserve">Enable repeatable, secure and explainable sales-performance decisions from imported transaction data.</w:t>
      </w:r>
    </w:p>
    <w:p>
      <w:pPr>
        <w:pStyle w:val="Heading2"/>
      </w:pPr>
      <w:r>
        <w:rPr/>
        <w:t xml:space="preserve">Specific objectives</w:t>
      </w:r>
    </w:p>
    <w:p>
      <w:pPr>
        <w:pStyle w:val="ListBullet"/>
        <w:ind w:left="720" w:hanging="360"/>
      </w:pPr>
      <w:r>
        <w:rPr/>
        <w:t xml:space="preserve">• </w:t>
      </w:r>
      <w:r>
        <w:rPr/>
        <w:t xml:space="preserve">Import validated CSV, XLSX and XLS sales files within the configured size limit (10 MB by default).</w:t>
      </w:r>
    </w:p>
    <w:p>
      <w:pPr>
        <w:pStyle w:val="ListBullet"/>
        <w:ind w:left="720" w:hanging="360"/>
      </w:pPr>
      <w:r>
        <w:rPr/>
        <w:t xml:space="preserve">• </w:t>
      </w:r>
      <w:r>
        <w:rPr/>
        <w:t xml:space="preserve">Calculate revenue, total cost and margin from quantity, unit price and unit cost.</w:t>
      </w:r>
    </w:p>
    <w:p>
      <w:pPr>
        <w:pStyle w:val="ListBullet"/>
        <w:ind w:left="720" w:hanging="360"/>
      </w:pPr>
      <w:r>
        <w:rPr/>
        <w:t xml:space="preserve">• </w:t>
      </w:r>
      <w:r>
        <w:rPr/>
        <w:t xml:space="preserve">Segment analysis by time period, product, client and region.</w:t>
      </w:r>
    </w:p>
    <w:p>
      <w:pPr>
        <w:pStyle w:val="ListBullet"/>
        <w:ind w:left="720" w:hanging="360"/>
      </w:pPr>
      <w:r>
        <w:rPr/>
        <w:t xml:space="preserve">• </w:t>
      </w:r>
      <w:r>
        <w:rPr/>
        <w:t xml:space="preserve">Surface configurable alerts and deterministic recommendations based on transparent thresholds and evidence.</w:t>
      </w:r>
    </w:p>
    <w:p>
      <w:pPr>
        <w:pStyle w:val="ListBullet"/>
        <w:ind w:left="720" w:hanging="360"/>
      </w:pPr>
      <w:r>
        <w:rPr/>
        <w:t xml:space="preserve">• </w:t>
      </w:r>
      <w:r>
        <w:rPr/>
        <w:t xml:space="preserve">Forecast revenue for a selected horizon, while disclosing low-history or convergence limitations.</w:t>
      </w:r>
    </w:p>
    <w:p>
      <w:pPr>
        <w:pStyle w:val="ListBullet"/>
        <w:ind w:left="720" w:hanging="360"/>
      </w:pPr>
      <w:r>
        <w:rPr/>
        <w:t xml:space="preserve">• </w:t>
      </w:r>
      <w:r>
        <w:rPr/>
        <w:t xml:space="preserve">Allow natural-language questions using only a bounded analytical context and log feedback for quality improvement.</w:t>
      </w:r>
    </w:p>
    <w:p>
      <w:pPr>
        <w:pStyle w:val="ListBullet"/>
        <w:ind w:left="720" w:hanging="360"/>
      </w:pPr>
      <w:r>
        <w:rPr/>
        <w:t xml:space="preserve">• </w:t>
      </w:r>
      <w:r>
        <w:rPr/>
        <w:t xml:space="preserve">Apply authentication, role-based permissions, strong password policy, lockout controls and operational backups.</w:t>
      </w:r>
    </w:p>
    <w:p>
      <w:pPr>
        <w:pStyle w:val="Heading2"/>
      </w:pPr>
      <w:r>
        <w:rPr/>
        <w:t xml:space="preserve">In scope (repository evidence)</w:t>
      </w:r>
    </w:p>
    <w:tbl>
      <w:tblPr>
        <w:tblW w:w="0" w:type="auto"/>
        <w:tblLayout w:type="fixed"/>
        <w:tblBorders>
          <w:top w:val="single" w:sz="4" w:color="B7C9DE"/>
          <w:left w:val="single" w:sz="4" w:color="B7C9DE"/>
          <w:bottom w:val="single" w:sz="4" w:color="B7C9DE"/>
          <w:right w:val="single" w:sz="4" w:color="B7C9DE"/>
          <w:insideH w:val="single" w:sz="4" w:color="D9E2F3"/>
          <w:insideV w:val="single" w:sz="4" w:color="D9E2F3"/>
        </w:tblBorders>
      </w:tblPr>
      <w:tblGrid>
        <w:gridCol w:w="2400"/>
        <w:gridCol w:w="6600"/>
      </w:tblGrid>
      <w:tr>
        <w:tc>
          <w:tcPr>
            <w:tcW w:w="24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66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Included capability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Data intake</w:t>
            </w:r>
          </w:p>
        </w:tc>
        <w:tc>
          <w:tcPr>
            <w:tcW w:w="6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Validation of file type/signature and error handling for CSV, XLSX and XLS; records include date, client, product, quantity, unit price, unit cost and region.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Analysis</w:t>
            </w:r>
          </w:p>
        </w:tc>
        <w:tc>
          <w:tcPr>
            <w:tcW w:w="6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Dashboard, sales list, filtering, KPIs, visualizations, PDF dashboard export, alerts, recommendations and forecast.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Recommendation engine</w:t>
            </w:r>
          </w:p>
        </w:tc>
        <w:tc>
          <w:tcPr>
            <w:tcW w:w="6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Rules for revenue decline/growth, margin risk, product/client/region concentration, quantity anomalies, forecast gaps and insufficient-data states.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Assistant</w:t>
            </w:r>
          </w:p>
        </w:tc>
        <w:tc>
          <w:tcPr>
            <w:tcW w:w="6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Chat endpoints, streaming, history reset, feedback, intent handling and optional Ollama/OpenAI provider.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Security/operations</w:t>
            </w:r>
          </w:p>
        </w:tc>
        <w:tc>
          <w:tcPr>
            <w:tcW w:w="6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Roles, import/configuration permissions, password change flow, throttling, secure production settings, health checks and encrypted backup command.</w:t>
            </w:r>
          </w:p>
        </w:tc>
      </w:tr>
    </w:tbl>
    <w:p>
      <w:pPr>
        <w:pStyle w:val="Heading2"/>
      </w:pPr>
      <w:r>
        <w:rPr/>
        <w:t xml:space="preserve">Out of scope / not evidenced</w:t>
      </w:r>
    </w:p>
    <w:tbl>
      <w:tblPr>
        <w:tblW w:w="0" w:type="auto"/>
        <w:tblLayout w:type="fixed"/>
        <w:tblBorders>
          <w:top w:val="single" w:sz="4" w:color="B7C9DE"/>
          <w:left w:val="single" w:sz="4" w:color="B7C9DE"/>
          <w:bottom w:val="single" w:sz="4" w:color="B7C9DE"/>
          <w:right w:val="single" w:sz="4" w:color="B7C9DE"/>
          <w:insideH w:val="single" w:sz="4" w:color="D9E2F3"/>
          <w:insideV w:val="single" w:sz="4" w:color="D9E2F3"/>
        </w:tblBorders>
      </w:tblPr>
      <w:tblGrid>
        <w:gridCol w:w="3300"/>
        <w:gridCol w:w="5700"/>
      </w:tblGrid>
      <w:tr>
        <w:tc>
          <w:tcPr>
            <w:tcW w:w="33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Excluded or unconfirmed item</w:t>
            </w:r>
          </w:p>
        </w:tc>
        <w:tc>
          <w:tcPr>
            <w:tcW w:w="57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Reason / boundary</w:t>
            </w:r>
          </w:p>
        </w:tc>
      </w:tr>
      <w:tr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Automatic causal diagnosis</w:t>
            </w:r>
          </w:p>
        </w:tc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Rules identify signals; documentation explicitly says the system must not claim unproven causality.</w:t>
            </w:r>
          </w:p>
        </w:tc>
      </w:tr>
      <w:tr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Machine-learned recommendation prioritization</w:t>
            </w:r>
          </w:p>
        </w:tc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Version 1 uses deterministic rules and weighted scoring; no labeled outcome history is available.</w:t>
            </w:r>
          </w:p>
        </w:tc>
      </w:tr>
      <w:tr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Direct ERP/CRM/API integration</w:t>
            </w:r>
          </w:p>
        </w:tc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No connector or integration implementation is present in the reviewed repository.</w:t>
            </w:r>
          </w:p>
        </w:tc>
      </w:tr>
      <w:tr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Automated action execution</w:t>
            </w:r>
          </w:p>
        </w:tc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The application recommends actions; no evidence shows it creates campaigns, orders, CRM tasks or approvals.</w:t>
            </w:r>
          </w:p>
        </w:tc>
      </w:tr>
      <w:tr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Approved hosting, SLA, RPO/RTO or compliance certification</w:t>
            </w:r>
          </w:p>
        </w:tc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Deployment guidance exists, but contractual operating targets and certifications are not provided.</w:t>
            </w:r>
          </w:p>
        </w:tc>
      </w:tr>
    </w:tbl>
    <w:p>
      <w:pPr>
        <w:pStyle w:val="Heading1"/>
      </w:pPr>
      <w:r>
        <w:rPr/>
        <w:t xml:space="preserve">4. Methodology, key steps and activities</w:t>
      </w:r>
    </w:p>
    <w:p>
      <w:pPr>
        <w:pStyle w:val="Heading2"/>
      </w:pPr>
      <w:r>
        <w:rPr/>
        <w:t xml:space="preserve">Delivery and operating methodology</w:t>
      </w:r>
    </w:p>
    <w:p>
      <w:pPr/>
      <w:r>
        <w:rPr/>
        <w:t xml:space="preserve">The product follows an evidence-first analytical workflow. Sales data is validated before import; the dashboard applies requested filters; calculations and forecasts are produced server-side; the recommendation engine evaluates rules against the same filtered data; results are prioritized and rendered with supporting evidence. The assistant is downstream of this process and interprets a limited analytical dossier rather than querying raw data directly.</w:t>
      </w:r>
    </w:p>
    <w:tbl>
      <w:tblPr>
        <w:tblW w:w="0" w:type="auto"/>
        <w:tblLayout w:type="fixed"/>
        <w:tblBorders>
          <w:top w:val="single" w:sz="4" w:color="B7C9DE"/>
          <w:left w:val="single" w:sz="4" w:color="B7C9DE"/>
          <w:bottom w:val="single" w:sz="4" w:color="B7C9DE"/>
          <w:right w:val="single" w:sz="4" w:color="B7C9DE"/>
          <w:insideH w:val="single" w:sz="4" w:color="D9E2F3"/>
          <w:insideV w:val="single" w:sz="4" w:color="D9E2F3"/>
        </w:tblBorders>
      </w:tblPr>
      <w:tblGrid>
        <w:gridCol w:w="1000"/>
        <w:gridCol w:w="4800"/>
        <w:gridCol w:w="3200"/>
      </w:tblGrid>
      <w:tr>
        <w:tc>
          <w:tcPr>
            <w:tcW w:w="10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tcW w:w="48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Activity</w:t>
            </w:r>
          </w:p>
        </w:tc>
        <w:tc>
          <w:tcPr>
            <w:tcW w:w="32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Control / output</w:t>
            </w:r>
          </w:p>
        </w:tc>
      </w:tr>
      <w:t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1. Prepare data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Prepare CSV/XLS/XLSX with required commercial fields; remove corrupt or unsupported files.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Extension/signature checks and file-size limit; functional errors rather than technical traces.</w:t>
            </w:r>
          </w:p>
        </w:tc>
      </w:tr>
      <w:t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2. Import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Authorized business user imports sales records.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Validated records are stored as Vente data; imports are permission-controlled.</w:t>
            </w:r>
          </w:p>
        </w:tc>
      </w:tr>
      <w:t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3. Filter analysis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Select date range, client and/or product in dashboard.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 shared filtered query set drives KPI, forecast and recommendation calculations.</w:t>
            </w:r>
          </w:p>
        </w:tc>
      </w:tr>
      <w:t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4. Compute indicators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Aggregate revenue, quantity, cost, margin and completeness by time and entity.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Reproducible server-side calculations; missing/weak data are surfaced.</w:t>
            </w:r>
          </w:p>
        </w:tc>
      </w:tr>
      <w:t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5. Forecast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Use monthly history to project revenue.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ARIMA is selected when sufficient history exists; otherwise moving-average fallback and warning.</w:t>
            </w:r>
          </w:p>
        </w:tc>
      </w:tr>
      <w:t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6. Evaluate rules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Apply thresholds to changes, risk concentration, margin, anomaly and forecast-gap conditions.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Each recommendation contains rule ID, values, comparison period, confidence and suggested action.</w:t>
            </w:r>
          </w:p>
        </w:tc>
      </w:tr>
      <w:t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7. Prioritize and decide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Review ranked signals, validate business context, assign human follow-up.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Maximum displayed recommendations is configured as 8; system supports decisions, not causal proof.</w:t>
            </w:r>
          </w:p>
        </w:tc>
      </w:tr>
      <w:t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8. Learn and improve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Gather user feedback on assistant answers; recalibrate thresholds after business review.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Feedback/audit data exist; threshold recalibration is recommended after 3–6 months of use.</w:t>
            </w:r>
          </w:p>
        </w:tc>
      </w:tr>
    </w:tbl>
    <w:p>
      <w:pPr>
        <w:pStyle w:val="Heading2"/>
      </w:pPr>
      <w:r>
        <w:rPr/>
        <w:t xml:space="preserve">Recommendation logic and explainability</w:t>
      </w:r>
    </w:p>
    <w:p>
      <w:pPr/>
      <w:r>
        <w:rPr/>
        <w:t xml:space="preserve">The documented scoring model combines severity (35%), financial impact (25%), duration (15%), data reliability (15%) and analysis confidence (10%) into a 0–100 score. Initial priority bands are low (0–39), medium (40–59), high (60–79) and critical (80–100). Initial thresholds are configuration values, not universally valid business constants: for example, a global revenue decline is triggered at −10%, strong product decline at −20%, low margin at ≤10%, client dependency at ≥35%, and forecast gap at ≥20%.</w:t>
      </w:r>
    </w:p>
    <w:p>
      <w:pPr/>
      <w:r>
        <w:rPr>
          <w:i/>
          <w:color w:val="7F6000"/>
        </w:rPr>
        <w:t xml:space="preserve">Important limitation: thresholds must be approved and calibrated using the organization’s own commercial history. They should not be treated as final policy solely because they are defaults in the code.</w:t>
      </w:r>
    </w:p>
    <w:p>
      <w:pPr>
        <w:pStyle w:val="Heading1"/>
      </w:pPr>
      <w:r>
        <w:rPr/>
        <w:t xml:space="preserve">5. Deliverables, expected results and success criteria</w:t>
      </w:r>
    </w:p>
    <w:tbl>
      <w:tblPr>
        <w:tblW w:w="0" w:type="auto"/>
        <w:tblLayout w:type="fixed"/>
        <w:tblBorders>
          <w:top w:val="single" w:sz="4" w:color="B7C9DE"/>
          <w:left w:val="single" w:sz="4" w:color="B7C9DE"/>
          <w:bottom w:val="single" w:sz="4" w:color="B7C9DE"/>
          <w:right w:val="single" w:sz="4" w:color="B7C9DE"/>
          <w:insideH w:val="single" w:sz="4" w:color="D9E2F3"/>
          <w:insideV w:val="single" w:sz="4" w:color="D9E2F3"/>
        </w:tblBorders>
      </w:tblPr>
      <w:tblGrid>
        <w:gridCol w:w="2400"/>
        <w:gridCol w:w="4000"/>
        <w:gridCol w:w="2600"/>
      </w:tblGrid>
      <w:tr>
        <w:tc>
          <w:tcPr>
            <w:tcW w:w="24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Deliverable</w:t>
            </w:r>
          </w:p>
        </w:tc>
        <w:tc>
          <w:tcPr>
            <w:tcW w:w="40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Description</w:t>
            </w:r>
          </w:p>
        </w:tc>
        <w:tc>
          <w:tcPr>
            <w:tcW w:w="26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Evidence / acceptance basis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Sales import workflow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Controlled import of CSV/Excel sales files.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Automated tests cover empty, header-only, oversize and corrupt-file cases.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Sales dashboard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KPIs, filtered analysis, charts and PDF export.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Dashboard and export routes are implemented.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Alert configuration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Threshold configuration with history of changes.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SeuilAlerte and HistoriqueConfigurationAlerte models and configuration view.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Recommendation engine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Explainable signals with rule IDs, evidence, score, confidence and actions.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Documented rule catalogue and automated recommendation tests.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Forecasting module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Revenue forecast with model fallback and warning states.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ARIMA/moving-average logic in prediction module.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Commercial assistant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Bounded chat, streaming, feedback and learning records.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Assistant services, audit and benchmark materials.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Security and operations pack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Roles, secure configuration, deployment and encrypted-backup guidance.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Settings, permissions, deployment guide and backup command.</w:t>
            </w:r>
          </w:p>
        </w:tc>
      </w:tr>
    </w:tbl>
    <w:p>
      <w:pPr>
        <w:pStyle w:val="Heading2"/>
      </w:pPr>
      <w:r>
        <w:rPr/>
        <w:t xml:space="preserve">Expected results</w:t>
      </w:r>
    </w:p>
    <w:p>
      <w:pPr>
        <w:pStyle w:val="ListBullet"/>
        <w:ind w:left="720" w:hanging="360"/>
      </w:pPr>
      <w:r>
        <w:rPr/>
        <w:t xml:space="preserve">• </w:t>
      </w:r>
      <w:r>
        <w:rPr/>
        <w:t xml:space="preserve">A business user can import valid sales data and obtain a dashboard without manual spreadsheet aggregation.</w:t>
      </w:r>
    </w:p>
    <w:p>
      <w:pPr>
        <w:pStyle w:val="ListBullet"/>
        <w:ind w:left="720" w:hanging="360"/>
      </w:pPr>
      <w:r>
        <w:rPr/>
        <w:t xml:space="preserve">• </w:t>
      </w:r>
      <w:r>
        <w:rPr/>
        <w:t xml:space="preserve">A decision-maker can trace a recommendation back to the values, period and rule that generated it.</w:t>
      </w:r>
    </w:p>
    <w:p>
      <w:pPr>
        <w:pStyle w:val="ListBullet"/>
        <w:ind w:left="720" w:hanging="360"/>
      </w:pPr>
      <w:r>
        <w:rPr/>
        <w:t xml:space="preserve">• </w:t>
      </w:r>
      <w:r>
        <w:rPr/>
        <w:t xml:space="preserve">A forecast warning is displayed where history is too short or ARIMA cannot converge.</w:t>
      </w:r>
    </w:p>
    <w:p>
      <w:pPr>
        <w:pStyle w:val="ListBullet"/>
        <w:ind w:left="720" w:hanging="360"/>
      </w:pPr>
      <w:r>
        <w:rPr/>
        <w:t xml:space="preserve">• </w:t>
      </w:r>
      <w:r>
        <w:rPr/>
        <w:t xml:space="preserve">A user can ask the assistant about the current analysis without transmitting raw sales rows to the language model.</w:t>
      </w:r>
    </w:p>
    <w:p>
      <w:pPr>
        <w:pStyle w:val="ListBullet"/>
        <w:ind w:left="720" w:hanging="360"/>
      </w:pPr>
      <w:r>
        <w:rPr/>
        <w:t xml:space="preserve">• </w:t>
      </w:r>
      <w:r>
        <w:rPr/>
        <w:t xml:space="preserve">Unauthorized users cannot perform privileged threshold or import activities assigned to other roles.</w:t>
      </w:r>
    </w:p>
    <w:p>
      <w:pPr>
        <w:pStyle w:val="Heading2"/>
      </w:pPr>
      <w:r>
        <w:rPr/>
        <w:t xml:space="preserve">Success criteria</w:t>
      </w:r>
    </w:p>
    <w:tbl>
      <w:tblPr>
        <w:tblW w:w="0" w:type="auto"/>
        <w:tblLayout w:type="fixed"/>
        <w:tblBorders>
          <w:top w:val="single" w:sz="4" w:color="B7C9DE"/>
          <w:left w:val="single" w:sz="4" w:color="B7C9DE"/>
          <w:bottom w:val="single" w:sz="4" w:color="B7C9DE"/>
          <w:right w:val="single" w:sz="4" w:color="B7C9DE"/>
          <w:insideH w:val="single" w:sz="4" w:color="D9E2F3"/>
          <w:insideV w:val="single" w:sz="4" w:color="D9E2F3"/>
        </w:tblBorders>
      </w:tblPr>
      <w:tblGrid>
        <w:gridCol w:w="2500"/>
        <w:gridCol w:w="4200"/>
        <w:gridCol w:w="2300"/>
      </w:tblGrid>
      <w:tr>
        <w:tc>
          <w:tcPr>
            <w:tcW w:w="25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Criterion</w:t>
            </w:r>
          </w:p>
        </w:tc>
        <w:tc>
          <w:tcPr>
            <w:tcW w:w="42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Measure / decision rule</w:t>
            </w:r>
          </w:p>
        </w:tc>
        <w:tc>
          <w:tcPr>
            <w:tcW w:w="23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Status from repository</w:t>
            </w:r>
          </w:p>
        </w:tc>
      </w:tr>
      <w:tr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Functional correctness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Automated test suite passes; expected recommendation rules trigger without duplicates or contradictory signals.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Tests are present; a fresh execution result was not supplied in the project request.</w:t>
            </w:r>
          </w:p>
        </w:tc>
      </w:tr>
      <w:tr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Calculation integrity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Revenue and margin recomputation from Vente records agrees to the centime.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Defined in recommendation acceptance criteria.</w:t>
            </w:r>
          </w:p>
        </w:tc>
      </w:tr>
      <w:tr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Data-quality guardrail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No substantive recommendation is shown when fewer than 5 rows, fewer than 2 periods, or completeness is below 70%.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Documented as REC_DONNEES_INSUFFISANTES behavior.</w:t>
            </w:r>
          </w:p>
        </w:tc>
      </w:tr>
      <w:tr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Security baseline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Production uses DEBUG=False, secrets outside repository, HTTPS proxy configuration and protected cookies.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Deployment/settings guidance exists; production configuration must be verified.</w:t>
            </w:r>
          </w:p>
        </w:tc>
      </w:tr>
      <w:tr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Business adoption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Named users complete an agreed acceptance scenario and confirm usefulness of the top signals.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Target users, scenario and target score are not yet defined.</w:t>
            </w:r>
          </w:p>
        </w:tc>
      </w:tr>
    </w:tbl>
    <w:p>
      <w:pPr>
        <w:pStyle w:val="Heading1"/>
      </w:pPr>
      <w:r>
        <w:rPr/>
        <w:t xml:space="preserve">6. Timeline and milestones</w:t>
      </w:r>
    </w:p>
    <w:p>
      <w:pPr/>
      <w:r>
        <w:rPr>
          <w:i/>
          <w:color w:val="7F6000"/>
        </w:rPr>
        <w:t xml:space="preserve">The repository does not contain approved dates, a baseline schedule or delivery history. The following is a proposed 12-week deployment roadmap, anchored to T0 = project authorization. It must be replaced with owner-approved dates before execution.</w:t>
      </w:r>
    </w:p>
    <w:tbl>
      <w:tblPr>
        <w:tblW w:w="0" w:type="auto"/>
        <w:tblLayout w:type="fixed"/>
        <w:tblBorders>
          <w:top w:val="single" w:sz="4" w:color="B7C9DE"/>
          <w:left w:val="single" w:sz="4" w:color="B7C9DE"/>
          <w:bottom w:val="single" w:sz="4" w:color="B7C9DE"/>
          <w:right w:val="single" w:sz="4" w:color="B7C9DE"/>
          <w:insideH w:val="single" w:sz="4" w:color="D9E2F3"/>
          <w:insideV w:val="single" w:sz="4" w:color="D9E2F3"/>
        </w:tblBorders>
      </w:tblPr>
      <w:tblGrid>
        <w:gridCol w:w="1800"/>
        <w:gridCol w:w="1400"/>
        <w:gridCol w:w="3600"/>
        <w:gridCol w:w="3200"/>
      </w:tblGrid>
      <w:tr>
        <w:tc>
          <w:tcPr>
            <w:tcW w:w="18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Milestone</w:t>
            </w:r>
          </w:p>
        </w:tc>
        <w:tc>
          <w:tcPr>
            <w:tcW w:w="14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Indicative timing</w:t>
            </w:r>
          </w:p>
        </w:tc>
        <w:tc>
          <w:tcPr>
            <w:tcW w:w="36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Key activities</w:t>
            </w:r>
          </w:p>
        </w:tc>
        <w:tc>
          <w:tcPr>
            <w:tcW w:w="32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Exit criterion</w:t>
            </w:r>
          </w:p>
        </w:tc>
      </w:tr>
      <w:t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M0: Mobilize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Week 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Name sponsor, product owner, data owner; confirm target organization and decision use cases.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Signed scope, roles and data access decision.</w:t>
            </w:r>
          </w:p>
        </w:tc>
      </w:tr>
      <w:t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M1: Data readiness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Weeks 2–3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Profile source files, map fields, clean sample data, define quality rules and retention.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Accepted data dictionary and test import files.</w:t>
            </w:r>
          </w:p>
        </w:tc>
      </w:tr>
      <w:t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M2: Environment readiness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Weeks 3–4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Select hosting/database, configure secrets, TLS, backup location and monitoring.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Secure non-production environment passes deployment checklist.</w:t>
            </w:r>
          </w:p>
        </w:tc>
      </w:tr>
      <w:t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M3: Business calibration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Weeks 4–6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Validate thresholds, forecast horizon, dashboard filters and alert meanings with stakeholders.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Approved threshold register and acceptance scenarios.</w:t>
            </w:r>
          </w:p>
        </w:tc>
      </w:tr>
      <w:t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M4: UAT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Weeks 7–8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Execute functional, security and usability tests with representative users.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UAT defects triaged; acceptance decision recorded.</w:t>
            </w:r>
          </w:p>
        </w:tc>
      </w:tr>
      <w:t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M5: Pilot go-live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Weeks 9–10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Load pilot data, train users, monitor use and assist decisions.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Pilot KPIs and incident log reviewed.</w:t>
            </w:r>
          </w:p>
        </w:tc>
      </w:tr>
      <w:t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M6: Stabilize and scale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Weeks 11–12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Review feedback, tune thresholds, validate restore, decide production expansion.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Go/no-go for wider rollout and ongoing operating model.</w:t>
            </w:r>
          </w:p>
        </w:tc>
      </w:tr>
    </w:tbl>
    <w:p>
      <w:pPr>
        <w:pStyle w:val="Heading1"/>
      </w:pPr>
      <w:r>
        <w:rPr/>
        <w:t xml:space="preserve">7. Resources and budget</w:t>
      </w:r>
    </w:p>
    <w:p>
      <w:pPr>
        <w:pStyle w:val="Heading2"/>
      </w:pPr>
      <w:r>
        <w:rPr/>
        <w:t xml:space="preserve">Human resources (proposed minimum operating model)</w:t>
      </w:r>
    </w:p>
    <w:tbl>
      <w:tblPr>
        <w:tblW w:w="0" w:type="auto"/>
        <w:tblLayout w:type="fixed"/>
        <w:tblBorders>
          <w:top w:val="single" w:sz="4" w:color="B7C9DE"/>
          <w:left w:val="single" w:sz="4" w:color="B7C9DE"/>
          <w:bottom w:val="single" w:sz="4" w:color="B7C9DE"/>
          <w:right w:val="single" w:sz="4" w:color="B7C9DE"/>
          <w:insideH w:val="single" w:sz="4" w:color="D9E2F3"/>
          <w:insideV w:val="single" w:sz="4" w:color="D9E2F3"/>
        </w:tblBorders>
      </w:tblPr>
      <w:tblGrid>
        <w:gridCol w:w="2400"/>
        <w:gridCol w:w="4600"/>
        <w:gridCol w:w="2200"/>
      </w:tblGrid>
      <w:tr>
        <w:tc>
          <w:tcPr>
            <w:tcW w:w="24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tcW w:w="46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Core accountability</w:t>
            </w:r>
          </w:p>
        </w:tc>
        <w:tc>
          <w:tcPr>
            <w:tcW w:w="22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Planning effort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Executive sponsor</w:t>
            </w:r>
          </w:p>
        </w:tc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Business outcomes, funding and escalation decisions.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0.05–0.10 FTE during rollout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Product owner / sales lead</w:t>
            </w:r>
          </w:p>
        </w:tc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Prioritize use cases, approve rules and accept outputs.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0.20–0.40 FTE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Data owner / analyst</w:t>
            </w:r>
          </w:p>
        </w:tc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Source quality, field mapping, reconciliation and data stewardship.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0.30–0.60 FTE initially; then ongoing part-time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Django engineer</w:t>
            </w:r>
          </w:p>
        </w:tc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Configuration, fixes, deployment support and test automation.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0.50–1.00 FTE during rollout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DevOps / security engineer</w:t>
            </w:r>
          </w:p>
        </w:tc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Hosting, secrets, TLS, monitoring, backup/restore and access controls.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0.15–0.35 FTE during rollout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UAT representatives</w:t>
            </w:r>
          </w:p>
        </w:tc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Validate real business scenarios and training material.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2–4 users, scheduled workshops</w:t>
            </w:r>
          </w:p>
        </w:tc>
      </w:tr>
    </w:tbl>
    <w:p>
      <w:pPr>
        <w:pStyle w:val="Heading2"/>
      </w:pPr>
      <w:r>
        <w:rPr/>
        <w:t xml:space="preserve">Technical resources</w:t>
      </w:r>
    </w:p>
    <w:tbl>
      <w:tblPr>
        <w:tblW w:w="0" w:type="auto"/>
        <w:tblLayout w:type="fixed"/>
        <w:tblBorders>
          <w:top w:val="single" w:sz="4" w:color="B7C9DE"/>
          <w:left w:val="single" w:sz="4" w:color="B7C9DE"/>
          <w:bottom w:val="single" w:sz="4" w:color="B7C9DE"/>
          <w:right w:val="single" w:sz="4" w:color="B7C9DE"/>
          <w:insideH w:val="single" w:sz="4" w:color="D9E2F3"/>
          <w:insideV w:val="single" w:sz="4" w:color="D9E2F3"/>
        </w:tblBorders>
      </w:tblPr>
      <w:tblGrid>
        <w:gridCol w:w="2500"/>
        <w:gridCol w:w="6500"/>
      </w:tblGrid>
      <w:tr>
        <w:tc>
          <w:tcPr>
            <w:tcW w:w="25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Component</w:t>
            </w:r>
          </w:p>
        </w:tc>
        <w:tc>
          <w:tcPr>
            <w:tcW w:w="65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Requirement</w:t>
            </w:r>
          </w:p>
        </w:tc>
      </w:tr>
      <w:tr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Application stack</w:t>
            </w:r>
          </w:p>
        </w:tc>
        <w:tc>
          <w:tcPr>
            <w:tcW w:w="6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Python, Django 6.0, pandas, statsmodels, pydantic, cryptography and WeasyPrint; optional OpenAI package.</w:t>
            </w:r>
          </w:p>
        </w:tc>
      </w:tr>
      <w:tr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Database</w:t>
            </w:r>
          </w:p>
        </w:tc>
        <w:tc>
          <w:tcPr>
            <w:tcW w:w="6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MySQL is the configured default for production; SQLite database exists locally in the repository and is not a production decision.</w:t>
            </w:r>
          </w:p>
        </w:tc>
      </w:tr>
      <w:tr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Hosting/security</w:t>
            </w:r>
          </w:p>
        </w:tc>
        <w:tc>
          <w:tcPr>
            <w:tcW w:w="6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HTTPS reverse proxy, secret manager, environment variables, health monitoring and static-file delivery.</w:t>
            </w:r>
          </w:p>
        </w:tc>
      </w:tr>
      <w:tr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Backup</w:t>
            </w:r>
          </w:p>
        </w:tc>
        <w:tc>
          <w:tcPr>
            <w:tcW w:w="6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Encrypted backup key, retention policy (guide suggests 14 days), external immutable storage and scheduled restore tests.</w:t>
            </w:r>
          </w:p>
        </w:tc>
      </w:tr>
      <w:tr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Assistant runtime</w:t>
            </w:r>
          </w:p>
        </w:tc>
        <w:tc>
          <w:tcPr>
            <w:tcW w:w="6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Default local Ollama service with qwen3:1.7b; OpenAI is an optional external provider with a server-side API key.</w:t>
            </w:r>
          </w:p>
        </w:tc>
      </w:tr>
    </w:tbl>
    <w:p>
      <w:pPr>
        <w:pStyle w:val="Heading2"/>
      </w:pPr>
      <w:r>
        <w:rPr/>
        <w:t xml:space="preserve">Budget</w:t>
      </w:r>
    </w:p>
    <w:p>
      <w:pPr/>
      <w:r>
        <w:rPr/>
        <w:t xml:space="preserve">No approved budget, pricing assumptions, vendor quote, user count, hosting tier, support model or LLM usage estimate exists in the reviewed materials. Therefore, a truthful fixed budget cannot be stated. Obtain quotes and build the budget from the following cost categories before approval:</w:t>
      </w:r>
    </w:p>
    <w:tbl>
      <w:tblPr>
        <w:tblW w:w="0" w:type="auto"/>
        <w:tblLayout w:type="fixed"/>
        <w:tblBorders>
          <w:top w:val="single" w:sz="4" w:color="B7C9DE"/>
          <w:left w:val="single" w:sz="4" w:color="B7C9DE"/>
          <w:bottom w:val="single" w:sz="4" w:color="B7C9DE"/>
          <w:right w:val="single" w:sz="4" w:color="B7C9DE"/>
          <w:insideH w:val="single" w:sz="4" w:color="D9E2F3"/>
          <w:insideV w:val="single" w:sz="4" w:color="D9E2F3"/>
        </w:tblBorders>
      </w:tblPr>
      <w:tblGrid>
        <w:gridCol w:w="2400"/>
        <w:gridCol w:w="4000"/>
        <w:gridCol w:w="2600"/>
      </w:tblGrid>
      <w:tr>
        <w:tc>
          <w:tcPr>
            <w:tcW w:w="24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Cost category</w:t>
            </w:r>
          </w:p>
        </w:tc>
        <w:tc>
          <w:tcPr>
            <w:tcW w:w="40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Basis required for estimate</w:t>
            </w:r>
          </w:p>
        </w:tc>
        <w:tc>
          <w:tcPr>
            <w:tcW w:w="26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Decision needed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Implementation labor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Role rates × approved effort / duration.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Internal capacity versus external services.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Hosting and database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Region, availability, storage, backup volume and network needs.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Cloud/on-premises provider and service tier.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Security and operations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Monitoring, secret manager, certificate, backup/restore and support coverage.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Required SLA, RPO and RTO.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Assistant inference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Local hardware/Ollama operations or external API token volume and model choice.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Privacy posture and expected question volume.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Training and change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Number of users, workshops, documentation and pilot support.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Rollout population and training format.</w:t>
            </w:r>
          </w:p>
        </w:tc>
      </w:tr>
    </w:tbl>
    <w:p>
      <w:pPr>
        <w:pStyle w:val="Heading1"/>
      </w:pPr>
      <w:r>
        <w:rPr/>
        <w:t xml:space="preserve">8. Risks, challenges and mitigation</w:t>
      </w:r>
    </w:p>
    <w:tbl>
      <w:tblPr>
        <w:tblW w:w="0" w:type="auto"/>
        <w:tblLayout w:type="fixed"/>
        <w:tblBorders>
          <w:top w:val="single" w:sz="4" w:color="B7C9DE"/>
          <w:left w:val="single" w:sz="4" w:color="B7C9DE"/>
          <w:bottom w:val="single" w:sz="4" w:color="B7C9DE"/>
          <w:right w:val="single" w:sz="4" w:color="B7C9DE"/>
          <w:insideH w:val="single" w:sz="4" w:color="D9E2F3"/>
          <w:insideV w:val="single" w:sz="4" w:color="D9E2F3"/>
        </w:tblBorders>
      </w:tblPr>
      <w:tblGrid>
        <w:gridCol w:w="2400"/>
        <w:gridCol w:w="2800"/>
        <w:gridCol w:w="4200"/>
      </w:tblGrid>
      <w:tr>
        <w:tc>
          <w:tcPr>
            <w:tcW w:w="24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Risk / challenge</w:t>
            </w:r>
          </w:p>
        </w:tc>
        <w:tc>
          <w:tcPr>
            <w:tcW w:w="28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Impact</w:t>
            </w:r>
          </w:p>
        </w:tc>
        <w:tc>
          <w:tcPr>
            <w:tcW w:w="42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Mitigation / owner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Incomplete or inconsistent sales data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Misleading KPIs and unreliable recommendations.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Use import validation; profile data before pilot; enforce a data dictionary; retain insufficient-data state. Owner: Data owner.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Uncalibrated business thresholds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Alert fatigue or missed material risks.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Run 3–6 months of review; compare signals to outcomes; approve threshold changes with audit history. Owner: Product owner.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Short or unstable history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Forecast quality is weak; ARIMA may not converge.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Use documented moving-average fallback and warning; require human review before committing resources. Owner: Sales lead.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Over-trust in AI responses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Users may treat interpretation as fact or causal proof.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Keep factual constraints in prompts; display missing-data caveats; train users; require decision accountability. Owner: Product owner.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Sensitive-data exposure via external LLM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Privacy/compliance concern.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Prefer local Ollama where required; send only bounded aggregates; validate policy and vendor terms before enabling OpenAI. Owner: Security lead.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Unauthorized access or account compromise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Exposure or unauthorized change to sales/security settings.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Role permissions, Argon2 hashing, 15-character password minimum, CSRF protections, secure cookies and login throttling. Owner: Administrator.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Backup cannot be restored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Operational outage or data loss.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Encrypt backups; store externally; test restoration regularly in isolated environment. Owner: Operations.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Scope expansion into integrations/automation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Schedule and cost growth.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Keep ERP/CRM integration and automatic action execution as separate approved work packages. Owner: Sponsor.</w:t>
            </w:r>
          </w:p>
        </w:tc>
      </w:tr>
    </w:tbl>
    <w:p>
      <w:pPr>
        <w:pStyle w:val="Heading1"/>
      </w:pPr>
      <w:r>
        <w:rPr/>
        <w:t xml:space="preserve">9. Conclusion and recommended next steps</w:t>
      </w:r>
    </w:p>
    <w:p>
      <w:pPr/>
      <w:r>
        <w:rPr/>
        <w:t xml:space="preserve">SalesDecision AI has a substantive implemented foundation for sales-data analysis and explainable decision support. Its strongest qualities are traceable calculations, deterministic recommendation logic, data-quality guardrails, controlled assistant context, and security/operations features. The remaining work to achieve a dependable rollout is chiefly organizational: establish ownership, validate real data, calibrate business thresholds, select production operations, and demonstrate user value in a pilot.</w:t>
      </w:r>
    </w:p>
    <w:p>
      <w:pPr>
        <w:pStyle w:val="Heading2"/>
      </w:pPr>
      <w:r>
        <w:rPr/>
        <w:t xml:space="preserve">Recommended next steps</w:t>
      </w:r>
    </w:p>
    <w:p>
      <w:pPr>
        <w:pStyle w:val="ListBullet"/>
        <w:ind w:left="720" w:hanging="360"/>
      </w:pPr>
      <w:r>
        <w:rPr/>
        <w:t xml:space="preserve">• </w:t>
      </w:r>
      <w:r>
        <w:rPr/>
        <w:t xml:space="preserve">Appoint the executive sponsor, product owner, data owner, technical owner and security owner; publish their decision rights.</w:t>
      </w:r>
    </w:p>
    <w:p>
      <w:pPr>
        <w:pStyle w:val="ListBullet"/>
        <w:ind w:left="720" w:hanging="360"/>
      </w:pPr>
      <w:r>
        <w:rPr/>
        <w:t xml:space="preserve">• </w:t>
      </w:r>
      <w:r>
        <w:rPr/>
        <w:t xml:space="preserve">Confirm the target sales process, source-system fields, data-retention rules, user population and privacy requirements.</w:t>
      </w:r>
    </w:p>
    <w:p>
      <w:pPr>
        <w:pStyle w:val="ListBullet"/>
        <w:ind w:left="720" w:hanging="360"/>
      </w:pPr>
      <w:r>
        <w:rPr/>
        <w:t xml:space="preserve">• </w:t>
      </w:r>
      <w:r>
        <w:rPr/>
        <w:t xml:space="preserve">Run a data-profiling workshop using representative historical sales files; reconcile revenue and margin calculations with the source of record.</w:t>
      </w:r>
    </w:p>
    <w:p>
      <w:pPr>
        <w:pStyle w:val="ListBullet"/>
        <w:ind w:left="720" w:hanging="360"/>
      </w:pPr>
      <w:r>
        <w:rPr/>
        <w:t xml:space="preserve">• </w:t>
      </w:r>
      <w:r>
        <w:rPr/>
        <w:t xml:space="preserve">Approve a threshold register and forecast-use policy; document which signals require action and who owns follow-up.</w:t>
      </w:r>
    </w:p>
    <w:p>
      <w:pPr>
        <w:pStyle w:val="ListBullet"/>
        <w:ind w:left="720" w:hanging="360"/>
      </w:pPr>
      <w:r>
        <w:rPr/>
        <w:t xml:space="preserve">• </w:t>
      </w:r>
      <w:r>
        <w:rPr/>
        <w:t xml:space="preserve">Select production hosting, MySQL configuration, secret manager, backup target, monitoring, RPO/RTO and support coverage.</w:t>
      </w:r>
    </w:p>
    <w:p>
      <w:pPr>
        <w:pStyle w:val="ListBullet"/>
        <w:ind w:left="720" w:hanging="360"/>
      </w:pPr>
      <w:r>
        <w:rPr/>
        <w:t xml:space="preserve">• </w:t>
      </w:r>
      <w:r>
        <w:rPr/>
        <w:t xml:space="preserve">Execute the proposed UAT scenarios, including corrupt files, incomplete history, role permissions, recommendation reproducibility and restore testing.</w:t>
      </w:r>
    </w:p>
    <w:p>
      <w:pPr>
        <w:pStyle w:val="ListBullet"/>
        <w:ind w:left="720" w:hanging="360"/>
      </w:pPr>
      <w:r>
        <w:rPr/>
        <w:t xml:space="preserve">• </w:t>
      </w:r>
      <w:r>
        <w:rPr/>
        <w:t xml:space="preserve">Pilot with a small commercial team for 3–6 months; measure adoption, signal usefulness, forecast reliability and assistant feedback before broader rollout.</w:t>
      </w:r>
    </w:p>
    <w:p>
      <w:pPr>
        <w:pStyle w:val="ListBullet"/>
        <w:ind w:left="720" w:hanging="360"/>
      </w:pPr>
      <w:r>
        <w:rPr/>
        <w:t xml:space="preserve">• </w:t>
      </w:r>
      <w:r>
        <w:rPr/>
        <w:t xml:space="preserve">Convert this document into a presentation: one slide per numbered section, using the tables as slide content and the timeline/risk table as visual anchors.</w:t>
      </w:r>
    </w:p>
    <w:p>
      <w:pPr>
        <w:pStyle w:val="Heading1"/>
      </w:pPr>
      <w:r>
        <w:rPr/>
        <w:t xml:space="preserve">Appendix A. Slide conversion map</w:t>
      </w:r>
    </w:p>
    <w:tbl>
      <w:tblPr>
        <w:tblW w:w="0" w:type="auto"/>
        <w:tblLayout w:type="fixed"/>
        <w:tblBorders>
          <w:top w:val="single" w:sz="4" w:color="B7C9DE"/>
          <w:left w:val="single" w:sz="4" w:color="B7C9DE"/>
          <w:bottom w:val="single" w:sz="4" w:color="B7C9DE"/>
          <w:right w:val="single" w:sz="4" w:color="B7C9DE"/>
          <w:insideH w:val="single" w:sz="4" w:color="D9E2F3"/>
          <w:insideV w:val="single" w:sz="4" w:color="D9E2F3"/>
        </w:tblBorders>
      </w:tblPr>
      <w:tblGrid>
        <w:gridCol w:w="2200"/>
        <w:gridCol w:w="2200"/>
        <w:gridCol w:w="4800"/>
      </w:tblGrid>
      <w:tr>
        <w:tc>
          <w:tcPr>
            <w:tcW w:w="22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Suggested slide</w:t>
            </w:r>
          </w:p>
        </w:tc>
        <w:tc>
          <w:tcPr>
            <w:tcW w:w="22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Source section</w:t>
            </w:r>
          </w:p>
        </w:tc>
        <w:tc>
          <w:tcPr>
            <w:tcW w:w="4800" w:type="dxa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Core message</w:t>
            </w:r>
          </w:p>
        </w:tc>
      </w:tr>
      <w:t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1. Title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Cover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SalesDecision AI: governed commercial decision support</w:t>
            </w:r>
          </w:p>
        </w:tc>
      </w:tr>
      <w:t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2. Executive summary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Section 1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What the platform does and why it matters</w:t>
            </w:r>
          </w:p>
        </w:tc>
      </w:tr>
      <w:t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3. Problem and users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Section 2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Manual sales analysis problem and target roles</w:t>
            </w:r>
          </w:p>
        </w:tc>
      </w:tr>
      <w:t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4. Objectives and scope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Section 3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Commitments, boundaries and known exclusions</w:t>
            </w:r>
          </w:p>
        </w:tc>
      </w:tr>
      <w:t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5. How it works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Section 4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Import → analysis → forecast/rules → decision</w:t>
            </w:r>
          </w:p>
        </w:tc>
      </w:tr>
      <w:t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6. Deliverables and outcomes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Section 5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What is delivered and how success is measured</w:t>
            </w:r>
          </w:p>
        </w:tc>
      </w:tr>
      <w:t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7. Roadmap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Section 6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12-week proposed rollout from T0</w:t>
            </w:r>
          </w:p>
        </w:tc>
      </w:tr>
      <w:t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8. Resources and budget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Section 7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Operating model; budget inputs still requiring approval</w:t>
            </w:r>
          </w:p>
        </w:tc>
      </w:tr>
      <w:t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9. Risks and controls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Section 8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Key risks and mitigation ownership</w:t>
            </w:r>
          </w:p>
        </w:tc>
      </w:tr>
      <w:t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10. Decision and next steps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Section 9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/>
              <w:t xml:space="preserve">Governance and pilot actions required</w:t>
            </w:r>
          </w:p>
        </w:tc>
      </w:tr>
    </w:tbl>
    <w:p>
      <w:pPr>
        <w:pStyle w:val="Heading1"/>
      </w:pPr>
      <w:r>
        <w:rPr/>
        <w:t xml:space="preserve">Appendix B. Source traceability</w:t>
      </w:r>
    </w:p>
    <w:p>
      <w:pPr/>
      <w:r>
        <w:rPr/>
        <w:t xml:space="preserve">Primary project materials reviewed: RECOMMANDATIONS.md (functional rules and acceptance criteria); ASSISTANT_AUDIT.md (assistant architecture and safeguards); DEPLOYMENT.md (production deployment and backup guidance); BUG_REPORT.md (QA position); sales/models.py, views.py, prediction.py, recommandations.py, permissions.py, upload_validation.py and tests; DecisionIQ/settings.py; requirements.txt. This document deliberately distinguishes repository evidence from proposed project-planning assumptions.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40" w:after="140"/>
      <w:outlineLvl w:val="0"/>
    </w:pPr>
    <w:rPr>
      <w:b/>
      <w:color w:val="17365D"/>
      <w:sz w:val="32"/>
    </w:rPr>
  </w:style>
  <w:style w:type="paragraph" w:styleId="Heading2">
    <w:name w:val="heading 2"/>
    <w:basedOn w:val="Normal"/>
    <w:next w:val="Normal"/>
    <w:qFormat/>
    <w:pPr>
      <w:keepNext/>
      <w:spacing w:before="220" w:after="80"/>
      <w:outlineLvl w:val="1"/>
    </w:pPr>
    <w:rPr>
      <w:b/>
      <w:color w:val="4F81BD"/>
      <w:sz w:val="25"/>
    </w:rPr>
  </w:style>
  <w:style w:type="paragraph" w:styleId="ListBullet">
    <w:name w:val="List Bullet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SalesDecision AI Project Reference</dc:title>
  <dc:creator>Codex</dc:creator>
  <dcterms:created xsi:type="dcterms:W3CDTF">2026-09-13T00:00:00Z</dcterms:created>
</cp:coreProperties>
</file>