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263A2"/>
          <w:sz w:val="22"/>
          <w:szCs w:val="22"/>
        </w:rPr>
        <w:t xml:space="preserve">ROSS</w:t>
      </w:r>
    </w:p>
    <w:p>
      <w:pPr>
        <w:spacing w:after="160"/>
      </w:pPr>
      <w:r>
        <w:rPr>
          <w:rFonts w:ascii="Arial" w:cs="Arial" w:eastAsia="Arial" w:hAnsi="Arial"/>
          <w:b/>
          <w:bCs/>
          <w:color w:val="1A2B4A"/>
          <w:sz w:val="38"/>
          <w:szCs w:val="38"/>
        </w:rPr>
        <w:t xml:space="preserve">Módulo CRM: consulta sobre el tratamiento de datos personales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blHeader/>
        </w:trPr>
        <w:tc>
          <w:tcPr>
            <w:tcW w:type="dxa" w:w="1700"/>
            <w:tcBorders>
              <w:top w:val="single" w:color="C9D3E3" w:sz="4"/>
              <w:left w:val="single" w:color="C9D3E3" w:sz="4"/>
              <w:bottom w:val="single" w:color="C9D3E3" w:sz="4"/>
              <w:right w:val="single" w:color="C9D3E3" w:sz="4"/>
            </w:tcBorders>
            <w:shd w:fill="EAF1F8" w:color="auto" w:val="clear"/>
            <w:tcMar>
              <w:top w:type="dxa" w:w="80"/>
              <w:left w:type="dxa" w:w="120"/>
              <w:bottom w:type="dxa" w:w="80"/>
              <w:right w:type="dxa" w:w="120"/>
            </w:tcMar>
          </w:tcPr>
          <w:p>
            <w:pPr>
              <w:spacing w:after="0" w:line="264"/>
            </w:pPr>
            <w:r>
              <w:rPr>
                <w:rFonts w:ascii="Arial" w:cs="Arial" w:eastAsia="Arial" w:hAnsi="Arial"/>
                <w:b/>
                <w:bCs/>
                <w:color w:val="1A2B4A"/>
                <w:sz w:val="19"/>
                <w:szCs w:val="19"/>
              </w:rPr>
              <w:t xml:space="preserve">Dato</w:t>
            </w:r>
          </w:p>
        </w:tc>
        <w:tc>
          <w:tcPr>
            <w:tcW w:type="dxa" w:w="7938"/>
            <w:tcBorders>
              <w:top w:val="single" w:color="C9D3E3" w:sz="4"/>
              <w:left w:val="single" w:color="C9D3E3" w:sz="4"/>
              <w:bottom w:val="single" w:color="C9D3E3" w:sz="4"/>
              <w:right w:val="single" w:color="C9D3E3" w:sz="4"/>
            </w:tcBorders>
            <w:shd w:fill="EAF1F8" w:color="auto" w:val="clear"/>
            <w:tcMar>
              <w:top w:type="dxa" w:w="80"/>
              <w:left w:type="dxa" w:w="120"/>
              <w:bottom w:type="dxa" w:w="80"/>
              <w:right w:type="dxa" w:w="120"/>
            </w:tcMar>
          </w:tcPr>
          <w:p>
            <w:pPr>
              <w:spacing w:after="0" w:line="264"/>
            </w:pPr>
            <w:r>
              <w:rPr>
                <w:rFonts w:ascii="Arial" w:cs="Arial" w:eastAsia="Arial" w:hAnsi="Arial"/>
                <w:b/>
                <w:bCs/>
                <w:color w:val="1A2B4A"/>
                <w:sz w:val="19"/>
                <w:szCs w:val="19"/>
              </w:rPr>
              <w:t xml:space="preserve">Detalle</w:t>
            </w:r>
          </w:p>
        </w:tc>
      </w:tr>
      <w:tr>
        <w:trPr>
          <w:cantSplit/>
        </w:trPr>
        <w:tc>
          <w:tcPr>
            <w:tcW w:type="dxa" w:w="17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Para</w:t>
            </w:r>
          </w:p>
        </w:tc>
        <w:tc>
          <w:tcPr>
            <w:tcW w:type="dxa" w:w="79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Responsable legal</w:t>
            </w:r>
          </w:p>
        </w:tc>
      </w:tr>
      <w:tr>
        <w:trPr>
          <w:cantSplit/>
        </w:trPr>
        <w:tc>
          <w:tcPr>
            <w:tcW w:type="dxa" w:w="17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De</w:t>
            </w:r>
          </w:p>
        </w:tc>
        <w:tc>
          <w:tcPr>
            <w:tcW w:type="dxa" w:w="79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highlight w:val="yellow"/>
              </w:rPr>
              <w:t xml:space="preserve">[nombre y cargo de quien envía]</w:t>
            </w:r>
          </w:p>
        </w:tc>
      </w:tr>
      <w:tr>
        <w:trPr>
          <w:cantSplit/>
        </w:trPr>
        <w:tc>
          <w:tcPr>
            <w:tcW w:type="dxa" w:w="17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Fecha</w:t>
            </w:r>
          </w:p>
        </w:tc>
        <w:tc>
          <w:tcPr>
            <w:tcW w:type="dxa" w:w="79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15 de octubre de 2026</w:t>
            </w:r>
          </w:p>
        </w:tc>
      </w:tr>
      <w:tr>
        <w:trPr>
          <w:cantSplit/>
        </w:trPr>
        <w:tc>
          <w:tcPr>
            <w:tcW w:type="dxa" w:w="17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Asunto</w:t>
            </w:r>
          </w:p>
        </w:tc>
        <w:tc>
          <w:tcPr>
            <w:tcW w:type="dxa" w:w="79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Consulta previa al desarrollo del módulo CRM de ROSS y su asistente de IA</w:t>
            </w:r>
          </w:p>
        </w:tc>
      </w:tr>
      <w:tr>
        <w:trPr>
          <w:cantSplit/>
        </w:trPr>
        <w:tc>
          <w:tcPr>
            <w:tcW w:type="dxa" w:w="17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Versión</w:t>
            </w:r>
          </w:p>
        </w:tc>
        <w:tc>
          <w:tcPr>
            <w:tcW w:type="dxa" w:w="79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2. Incorpora las decisiones que tomó el equipo desde la versión anterior</w:t>
            </w:r>
          </w:p>
        </w:tc>
      </w:tr>
      <w:tr>
        <w:trPr>
          <w:cantSplit/>
        </w:trPr>
        <w:tc>
          <w:tcPr>
            <w:tcW w:type="dxa" w:w="17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Plazo</w:t>
            </w:r>
          </w:p>
        </w:tc>
        <w:tc>
          <w:tcPr>
            <w:tcW w:type="dxa" w:w="79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highlight w:val="yellow"/>
              </w:rPr>
              <w:t xml:space="preserve">[fecha deseada]</w:t>
            </w:r>
            <w:r>
              <w:rPr>
                <w:rFonts w:ascii="Arial" w:cs="Arial" w:eastAsia="Arial" w:hAnsi="Arial"/>
                <w:b w:val="false"/>
                <w:bCs w:val="false"/>
                <w:sz w:val="19"/>
                <w:szCs w:val="19"/>
              </w:rPr>
              <w:t xml:space="preserve">. La respuesta hace falta antes de definir las tablas del CRM</w:t>
            </w:r>
          </w:p>
        </w:tc>
      </w:tr>
    </w:tbl>
    <w:p>
      <w:pPr>
        <w:spacing w:after="120"/>
      </w:pPr>
    </w:p>
    <w:p>
      <w:pPr>
        <w:pStyle w:val="Heading1"/>
        <w:keepNext/>
        <w:spacing w:after="140" w:before="320"/>
      </w:pPr>
      <w:r>
        <w:rPr>
          <w:rFonts w:ascii="Arial" w:cs="Arial" w:eastAsia="Arial" w:hAnsi="Arial"/>
          <w:b/>
          <w:bCs/>
          <w:color w:val="1A2B4A"/>
          <w:sz w:val="28"/>
          <w:szCs w:val="28"/>
        </w:rPr>
        <w:t xml:space="preserve">1. Qué se le pide</w:t>
      </w:r>
    </w:p>
    <w:p>
      <w:pPr>
        <w:spacing w:after="120" w:line="276"/>
      </w:pPr>
      <w:r>
        <w:rPr>
          <w:rFonts w:ascii="Arial" w:cs="Arial" w:eastAsia="Arial" w:hAnsi="Arial"/>
          <w:sz w:val="21"/>
          <w:szCs w:val="21"/>
        </w:rPr>
        <w:t xml:space="preserve">ROSS va a incorporar un módulo de CRM opcional y un asistente de inteligencia artificial que lo puede consultar. Antes de escribir el esquema de datos, se necesita su revisión sobre el tratamiento de datos personales que eso implica.</w:t>
      </w:r>
    </w:p>
    <w:p>
      <w:pPr>
        <w:spacing w:after="120" w:line="276"/>
      </w:pPr>
      <w:r>
        <w:rPr>
          <w:rFonts w:ascii="Arial" w:cs="Arial" w:eastAsia="Arial" w:hAnsi="Arial"/>
          <w:sz w:val="21"/>
          <w:szCs w:val="21"/>
        </w:rPr>
        <w:t xml:space="preserve">Para que la revisión sea corta, este documento describe lo que el sistema hace hoy, lo que cambiaría, y para cada punto una solución propuesta por el equipo técnico. Se le pide que confirme, corrija o reemplace cada una.</w:t>
      </w:r>
    </w:p>
    <w:p>
      <w:pPr>
        <w:spacing w:after="120" w:line="276"/>
      </w:pPr>
      <w:r>
        <w:rPr>
          <w:rFonts w:ascii="Arial" w:cs="Arial" w:eastAsia="Arial" w:hAnsi="Arial"/>
          <w:sz w:val="21"/>
          <w:szCs w:val="21"/>
        </w:rPr>
        <w:t xml:space="preserve">Este documento describe hechos técnicos y propuestas. Las conclusiones legales son suyas: donde el equipo no puede determinar algo, lo dice.</w:t>
      </w:r>
    </w:p>
    <w:p>
      <w:pPr>
        <w:pStyle w:val="Heading2"/>
        <w:keepNext/>
        <w:spacing w:after="100" w:before="240"/>
      </w:pPr>
      <w:r>
        <w:rPr>
          <w:rFonts w:ascii="Arial" w:cs="Arial" w:eastAsia="Arial" w:hAnsi="Arial"/>
          <w:b/>
          <w:bCs/>
          <w:color w:val="2263A2"/>
          <w:sz w:val="23"/>
          <w:szCs w:val="23"/>
        </w:rPr>
        <w:t xml:space="preserve">Qué se espera recibir</w:t>
      </w:r>
    </w:p>
    <w:p>
      <w:pPr>
        <w:pStyle w:val="ListParagraph"/>
        <w:numPr>
          <w:ilvl w:val="0"/>
          <w:numId w:val="2"/>
        </w:numPr>
        <w:spacing w:after="80" w:line="276"/>
      </w:pPr>
      <w:r>
        <w:rPr>
          <w:rFonts w:ascii="Arial" w:cs="Arial" w:eastAsia="Arial" w:hAnsi="Arial"/>
          <w:sz w:val="21"/>
          <w:szCs w:val="21"/>
        </w:rPr>
        <w:t xml:space="preserve">Una respuesta por escrito a cada uno de los 13 puntos de la sección 6, en la hoja de resolución del final.</w:t>
      </w:r>
    </w:p>
    <w:p>
      <w:pPr>
        <w:pStyle w:val="ListParagraph"/>
        <w:numPr>
          <w:ilvl w:val="0"/>
          <w:numId w:val="2"/>
        </w:numPr>
        <w:spacing w:after="80" w:line="276"/>
      </w:pPr>
      <w:r>
        <w:rPr>
          <w:rFonts w:ascii="Arial" w:cs="Arial" w:eastAsia="Arial" w:hAnsi="Arial"/>
          <w:sz w:val="21"/>
          <w:szCs w:val="21"/>
        </w:rPr>
        <w:t xml:space="preserve">La cláusula o anexo de encargo de tratamiento para los términos de servicio.</w:t>
      </w:r>
    </w:p>
    <w:p>
      <w:pPr>
        <w:pStyle w:val="ListParagraph"/>
        <w:numPr>
          <w:ilvl w:val="0"/>
          <w:numId w:val="2"/>
        </w:numPr>
        <w:spacing w:after="80" w:line="276"/>
      </w:pPr>
      <w:r>
        <w:rPr>
          <w:rFonts w:ascii="Arial" w:cs="Arial" w:eastAsia="Arial" w:hAnsi="Arial"/>
          <w:sz w:val="21"/>
          <w:szCs w:val="21"/>
        </w:rPr>
        <w:t xml:space="preserve">El texto del aviso sobre el uso de las interacciones con el asistente (punto 9).</w:t>
      </w:r>
    </w:p>
    <w:p>
      <w:pPr>
        <w:pStyle w:val="ListParagraph"/>
        <w:numPr>
          <w:ilvl w:val="0"/>
          <w:numId w:val="2"/>
        </w:numPr>
        <w:spacing w:after="80" w:line="276"/>
      </w:pPr>
      <w:r>
        <w:rPr>
          <w:rFonts w:ascii="Arial" w:cs="Arial" w:eastAsia="Arial" w:hAnsi="Arial"/>
          <w:sz w:val="21"/>
          <w:szCs w:val="21"/>
        </w:rPr>
        <w:t xml:space="preserve">Los plazos de conservación y de atención de derechos (puntos 5, 6 y 9).</w:t>
      </w:r>
    </w:p>
    <w:p>
      <w:pPr>
        <w:spacing w:after="120" w:line="276"/>
      </w:pPr>
      <w:r>
        <w:rPr>
          <w:rFonts w:ascii="Arial" w:cs="Arial" w:eastAsia="Arial" w:hAnsi="Arial"/>
          <w:sz w:val="21"/>
          <w:szCs w:val="21"/>
        </w:rPr>
        <w:t xml:space="preserve">El desarrollo de las etapas anteriores del asistente, que no tocan datos de contactos, puede continuar mientras tanto.</w:t>
      </w:r>
    </w:p>
    <w:p>
      <w:pPr>
        <w:pStyle w:val="Heading2"/>
        <w:keepNext/>
        <w:spacing w:after="100" w:before="240"/>
      </w:pPr>
      <w:r>
        <w:rPr>
          <w:rFonts w:ascii="Arial" w:cs="Arial" w:eastAsia="Arial" w:hAnsi="Arial"/>
          <w:b/>
          <w:bCs/>
          <w:color w:val="2263A2"/>
          <w:sz w:val="23"/>
          <w:szCs w:val="23"/>
        </w:rPr>
        <w:t xml:space="preserve">Qué cambió desde la versión anterior</w:t>
      </w:r>
    </w:p>
    <w:p>
      <w:pPr>
        <w:pStyle w:val="ListParagraph"/>
        <w:numPr>
          <w:ilvl w:val="0"/>
          <w:numId w:val="2"/>
        </w:numPr>
        <w:spacing w:after="80" w:line="276"/>
      </w:pPr>
      <w:r>
        <w:rPr>
          <w:rFonts w:ascii="Arial" w:cs="Arial" w:eastAsia="Arial" w:hAnsi="Arial"/>
          <w:sz w:val="21"/>
          <w:szCs w:val="21"/>
        </w:rPr>
        <w:t xml:space="preserve">ROSS solo organiza y transporta los datos: cifrado por campo con una clave por cuenta y cifrado en reposo exigido (puntos 1 y 7).</w:t>
      </w:r>
    </w:p>
    <w:p>
      <w:pPr>
        <w:pStyle w:val="ListParagraph"/>
        <w:numPr>
          <w:ilvl w:val="0"/>
          <w:numId w:val="2"/>
        </w:numPr>
        <w:spacing w:after="80" w:line="276"/>
      </w:pPr>
      <w:r>
        <w:rPr>
          <w:rFonts w:ascii="Arial" w:cs="Arial" w:eastAsia="Arial" w:hAnsi="Arial"/>
          <w:sz w:val="21"/>
          <w:szCs w:val="21"/>
        </w:rPr>
        <w:t xml:space="preserve">Todo se mantiene en el plano nacional por ahora (punto 4).</w:t>
      </w:r>
    </w:p>
    <w:p>
      <w:pPr>
        <w:pStyle w:val="ListParagraph"/>
        <w:numPr>
          <w:ilvl w:val="0"/>
          <w:numId w:val="2"/>
        </w:numPr>
        <w:spacing w:after="80" w:line="276"/>
      </w:pPr>
      <w:r>
        <w:rPr>
          <w:rFonts w:ascii="Arial" w:cs="Arial" w:eastAsia="Arial" w:hAnsi="Arial"/>
          <w:sz w:val="21"/>
          <w:szCs w:val="21"/>
        </w:rPr>
        <w:t xml:space="preserve">Exportación: quién puede hacerla, 30 días de conservación y archivo en una ficha del pedido (punto 5).</w:t>
      </w:r>
    </w:p>
    <w:p>
      <w:pPr>
        <w:pStyle w:val="ListParagraph"/>
        <w:numPr>
          <w:ilvl w:val="0"/>
          <w:numId w:val="2"/>
        </w:numPr>
        <w:spacing w:after="80" w:line="276"/>
      </w:pPr>
      <w:r>
        <w:rPr>
          <w:rFonts w:ascii="Arial" w:cs="Arial" w:eastAsia="Arial" w:hAnsi="Arial"/>
          <w:sz w:val="21"/>
          <w:szCs w:val="21"/>
        </w:rPr>
        <w:t xml:space="preserve">Borrado: solo administradores. Un comercial genera una consulta de borrado. Constancia de 7 días sin datos personales (punto 5).</w:t>
      </w:r>
    </w:p>
    <w:p>
      <w:pPr>
        <w:pStyle w:val="ListParagraph"/>
        <w:numPr>
          <w:ilvl w:val="0"/>
          <w:numId w:val="2"/>
        </w:numPr>
        <w:spacing w:after="80" w:line="276"/>
      </w:pPr>
      <w:r>
        <w:rPr>
          <w:rFonts w:ascii="Arial" w:cs="Arial" w:eastAsia="Arial" w:hAnsi="Arial"/>
          <w:sz w:val="21"/>
          <w:szCs w:val="21"/>
        </w:rPr>
        <w:t xml:space="preserve">Retención: 180 días contados desde la baja del plan (punto 6).</w:t>
      </w:r>
    </w:p>
    <w:p>
      <w:pPr>
        <w:pStyle w:val="ListParagraph"/>
        <w:numPr>
          <w:ilvl w:val="0"/>
          <w:numId w:val="2"/>
        </w:numPr>
        <w:spacing w:after="80" w:line="276"/>
      </w:pPr>
      <w:r>
        <w:rPr>
          <w:rFonts w:ascii="Arial" w:cs="Arial" w:eastAsia="Arial" w:hAnsi="Arial"/>
          <w:sz w:val="21"/>
          <w:szCs w:val="21"/>
        </w:rPr>
        <w:t xml:space="preserve">Registro de accesos definido, con 12 meses de conservación (punto 7).</w:t>
      </w:r>
    </w:p>
    <w:p>
      <w:pPr>
        <w:pStyle w:val="ListParagraph"/>
        <w:numPr>
          <w:ilvl w:val="0"/>
          <w:numId w:val="2"/>
        </w:numPr>
        <w:spacing w:after="80" w:line="276"/>
      </w:pPr>
      <w:r>
        <w:rPr>
          <w:rFonts w:ascii="Arial" w:cs="Arial" w:eastAsia="Arial" w:hAnsi="Arial"/>
          <w:sz w:val="21"/>
          <w:szCs w:val="21"/>
        </w:rPr>
        <w:t xml:space="preserve">Las soluciones de los puntos 2, 8, 9 y 10 se adoptaron como solución de trabajo, sujetas a su revisión.</w:t>
      </w:r>
    </w:p>
    <w:p>
      <w:pPr>
        <w:pStyle w:val="ListParagraph"/>
        <w:numPr>
          <w:ilvl w:val="0"/>
          <w:numId w:val="2"/>
        </w:numPr>
        <w:spacing w:after="80" w:line="276"/>
      </w:pPr>
      <w:r>
        <w:rPr>
          <w:rFonts w:ascii="Arial" w:cs="Arial" w:eastAsia="Arial" w:hAnsi="Arial"/>
          <w:sz w:val="21"/>
          <w:szCs w:val="21"/>
        </w:rPr>
        <w:t xml:space="preserve">Nueva sección 5: quién puede acceder al CRM.</w:t>
      </w:r>
    </w:p>
    <w:p>
      <w:pPr>
        <w:pStyle w:val="ListParagraph"/>
        <w:numPr>
          <w:ilvl w:val="0"/>
          <w:numId w:val="2"/>
        </w:numPr>
        <w:spacing w:after="80" w:line="276"/>
      </w:pPr>
      <w:r>
        <w:rPr>
          <w:rFonts w:ascii="Arial" w:cs="Arial" w:eastAsia="Arial" w:hAnsi="Arial"/>
          <w:sz w:val="21"/>
          <w:szCs w:val="21"/>
        </w:rPr>
        <w:t xml:space="preserve">Dos consultas nuevas: el régimen del encargo de tratamiento (punto 12) y los plazos legales de respuesta a los titulares (punto 13).</w:t>
      </w:r>
    </w:p>
    <w:p>
      <w:pPr>
        <w:pStyle w:val="Heading1"/>
        <w:keepNext/>
        <w:spacing w:after="140" w:before="320"/>
      </w:pPr>
      <w:r>
        <w:rPr>
          <w:rFonts w:ascii="Arial" w:cs="Arial" w:eastAsia="Arial" w:hAnsi="Arial"/>
          <w:b/>
          <w:bCs/>
          <w:color w:val="1A2B4A"/>
          <w:sz w:val="28"/>
          <w:szCs w:val="28"/>
        </w:rPr>
        <w:t xml:space="preserve">2. Qué datos personales trata ROSS hoy</w:t>
      </w:r>
    </w:p>
    <w:p>
      <w:pPr>
        <w:spacing w:after="120" w:line="276"/>
      </w:pPr>
      <w:r>
        <w:rPr>
          <w:rFonts w:ascii="Arial" w:cs="Arial" w:eastAsia="Arial" w:hAnsi="Arial"/>
          <w:sz w:val="21"/>
          <w:szCs w:val="21"/>
        </w:rPr>
        <w:t xml:space="preserve">ROSS es una plataforma de análisis financiero para tiendas online. Se conecta a plataformas de venta y de publicidad y calcula ganancia real, costo de adquisición de clientes y métricas relacionadas.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438"/>
      </w:tblGrid>
      <w:tr>
        <w:trPr>
          <w:tblHeader/>
        </w:trPr>
        <w:tc>
          <w:tcPr>
            <w:tcW w:type="dxa" w:w="2900"/>
            <w:tcBorders>
              <w:top w:val="single" w:color="C9D3E3" w:sz="4"/>
              <w:left w:val="single" w:color="C9D3E3" w:sz="4"/>
              <w:bottom w:val="single" w:color="C9D3E3" w:sz="4"/>
              <w:right w:val="single" w:color="C9D3E3" w:sz="4"/>
            </w:tcBorders>
            <w:shd w:fill="EAF1F8" w:color="auto" w:val="clear"/>
            <w:tcMar>
              <w:top w:type="dxa" w:w="80"/>
              <w:left w:type="dxa" w:w="120"/>
              <w:bottom w:type="dxa" w:w="80"/>
              <w:right w:type="dxa" w:w="120"/>
            </w:tcMar>
          </w:tcPr>
          <w:p>
            <w:pPr>
              <w:spacing w:after="0" w:line="264"/>
            </w:pPr>
            <w:r>
              <w:rPr>
                <w:rFonts w:ascii="Arial" w:cs="Arial" w:eastAsia="Arial" w:hAnsi="Arial"/>
                <w:b/>
                <w:bCs/>
                <w:color w:val="1A2B4A"/>
                <w:sz w:val="19"/>
                <w:szCs w:val="19"/>
              </w:rPr>
              <w:t xml:space="preserve">Dato</w:t>
            </w:r>
          </w:p>
        </w:tc>
        <w:tc>
          <w:tcPr>
            <w:tcW w:type="dxa" w:w="3300"/>
            <w:tcBorders>
              <w:top w:val="single" w:color="C9D3E3" w:sz="4"/>
              <w:left w:val="single" w:color="C9D3E3" w:sz="4"/>
              <w:bottom w:val="single" w:color="C9D3E3" w:sz="4"/>
              <w:right w:val="single" w:color="C9D3E3" w:sz="4"/>
            </w:tcBorders>
            <w:shd w:fill="EAF1F8" w:color="auto" w:val="clear"/>
            <w:tcMar>
              <w:top w:type="dxa" w:w="80"/>
              <w:left w:type="dxa" w:w="120"/>
              <w:bottom w:type="dxa" w:w="80"/>
              <w:right w:type="dxa" w:w="120"/>
            </w:tcMar>
          </w:tcPr>
          <w:p>
            <w:pPr>
              <w:spacing w:after="0" w:line="264"/>
            </w:pPr>
            <w:r>
              <w:rPr>
                <w:rFonts w:ascii="Arial" w:cs="Arial" w:eastAsia="Arial" w:hAnsi="Arial"/>
                <w:b/>
                <w:bCs/>
                <w:color w:val="1A2B4A"/>
                <w:sz w:val="19"/>
                <w:szCs w:val="19"/>
              </w:rPr>
              <w:t xml:space="preserve">Cómo se guarda</w:t>
            </w:r>
          </w:p>
        </w:tc>
        <w:tc>
          <w:tcPr>
            <w:tcW w:type="dxa" w:w="3438"/>
            <w:tcBorders>
              <w:top w:val="single" w:color="C9D3E3" w:sz="4"/>
              <w:left w:val="single" w:color="C9D3E3" w:sz="4"/>
              <w:bottom w:val="single" w:color="C9D3E3" w:sz="4"/>
              <w:right w:val="single" w:color="C9D3E3" w:sz="4"/>
            </w:tcBorders>
            <w:shd w:fill="EAF1F8" w:color="auto" w:val="clear"/>
            <w:tcMar>
              <w:top w:type="dxa" w:w="80"/>
              <w:left w:type="dxa" w:w="120"/>
              <w:bottom w:type="dxa" w:w="80"/>
              <w:right w:type="dxa" w:w="120"/>
            </w:tcMar>
          </w:tcPr>
          <w:p>
            <w:pPr>
              <w:spacing w:after="0" w:line="264"/>
            </w:pPr>
            <w:r>
              <w:rPr>
                <w:rFonts w:ascii="Arial" w:cs="Arial" w:eastAsia="Arial" w:hAnsi="Arial"/>
                <w:b/>
                <w:bCs/>
                <w:color w:val="1A2B4A"/>
                <w:sz w:val="19"/>
                <w:szCs w:val="19"/>
              </w:rPr>
              <w:t xml:space="preserve">Observación</w:t>
            </w:r>
          </w:p>
        </w:tc>
      </w:tr>
      <w:tr>
        <w:trPr>
          <w:cantSplit/>
        </w:trPr>
        <w:tc>
          <w:tcPr>
            <w:tcW w:type="dxa" w:w="2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Email y contraseña de los usuarios de ROSS</w:t>
            </w:r>
          </w:p>
        </w:tc>
        <w:tc>
          <w:tcPr>
            <w:tcW w:type="dxa" w:w="3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El email en claro. La contraseña con bcrypt, que no es reversible</w:t>
            </w:r>
          </w:p>
        </w:tc>
        <w:tc>
          <w:tcPr>
            <w:tcW w:type="dxa" w:w="34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Necesario para iniciar sesión</w:t>
            </w:r>
          </w:p>
        </w:tc>
      </w:tr>
      <w:tr>
        <w:trPr>
          <w:cantSplit/>
        </w:trPr>
        <w:tc>
          <w:tcPr>
            <w:tcW w:type="dxa" w:w="2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Nombre, email y plataforma de quienes piden una demostración</w:t>
            </w:r>
          </w:p>
        </w:tc>
        <w:tc>
          <w:tcPr>
            <w:tcW w:type="dxa" w:w="3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En claro</w:t>
            </w:r>
          </w:p>
        </w:tc>
        <w:tc>
          <w:tcPr>
            <w:tcW w:type="dxa" w:w="34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Se usa para contactar al interesado</w:t>
            </w:r>
          </w:p>
        </w:tc>
      </w:tr>
      <w:tr>
        <w:trPr>
          <w:cantSplit/>
        </w:trPr>
        <w:tc>
          <w:tcPr>
            <w:tcW w:type="dxa" w:w="2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Email y teléfono de los compradores de las tiendas</w:t>
            </w:r>
          </w:p>
        </w:tc>
        <w:tc>
          <w:tcPr>
            <w:tcW w:type="dxa" w:w="3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Solo como hash SHA-256 irreversible. No se guarda el nombre</w:t>
            </w:r>
          </w:p>
        </w:tc>
        <w:tc>
          <w:tcPr>
            <w:tcW w:type="dxa" w:w="34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Decisión deliberada y documentada: no guardar datos personales de compradores en claro</w:t>
            </w:r>
          </w:p>
        </w:tc>
      </w:tr>
      <w:tr>
        <w:trPr>
          <w:cantSplit/>
        </w:trPr>
        <w:tc>
          <w:tcPr>
            <w:tcW w:type="dxa" w:w="2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Credenciales de las plataformas conectadas</w:t>
            </w:r>
          </w:p>
        </w:tc>
        <w:tc>
          <w:tcPr>
            <w:tcW w:type="dxa" w:w="3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Cifradas</w:t>
            </w:r>
          </w:p>
        </w:tc>
        <w:tc>
          <w:tcPr>
            <w:tcW w:type="dxa" w:w="34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Permiten leer pedidos y gasto publicitario</w:t>
            </w:r>
          </w:p>
        </w:tc>
      </w:tr>
      <w:tr>
        <w:trPr>
          <w:cantSplit/>
        </w:trPr>
        <w:tc>
          <w:tcPr>
            <w:tcW w:type="dxa" w:w="2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Registro de quién consultó datos asociados a clientes</w:t>
            </w:r>
          </w:p>
        </w:tc>
        <w:tc>
          <w:tcPr>
            <w:tcW w:type="dxa" w:w="3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Usuario, tienda, ruta y fecha</w:t>
            </w:r>
          </w:p>
        </w:tc>
        <w:tc>
          <w:tcPr>
            <w:tcW w:type="dxa" w:w="34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Sin el dato consultado</w:t>
            </w:r>
          </w:p>
        </w:tc>
      </w:tr>
    </w:tbl>
    <w:p>
      <w:pPr>
        <w:spacing w:after="120"/>
      </w:pPr>
    </w:p>
    <w:p>
      <w:pPr>
        <w:pStyle w:val="Heading1"/>
        <w:keepNext/>
        <w:spacing w:after="140" w:before="320"/>
      </w:pPr>
      <w:r>
        <w:rPr>
          <w:rFonts w:ascii="Arial" w:cs="Arial" w:eastAsia="Arial" w:hAnsi="Arial"/>
          <w:b/>
          <w:bCs/>
          <w:color w:val="1A2B4A"/>
          <w:sz w:val="28"/>
          <w:szCs w:val="28"/>
        </w:rPr>
        <w:t xml:space="preserve">3. Qué cambia con el CRM</w:t>
      </w:r>
    </w:p>
    <w:p>
      <w:pPr>
        <w:spacing w:after="120" w:line="276"/>
      </w:pPr>
      <w:r>
        <w:rPr>
          <w:rFonts w:ascii="Arial" w:cs="Arial" w:eastAsia="Arial" w:hAnsi="Arial"/>
          <w:sz w:val="21"/>
          <w:szCs w:val="21"/>
        </w:rPr>
        <w:t xml:space="preserve">El CRM es un módulo opcional que cada cuenta activa si lo necesita. Estaría disponible en los planes Growth y Scale. Su alcance inicial es acotado:</w:t>
      </w:r>
    </w:p>
    <w:p>
      <w:pPr>
        <w:pStyle w:val="ListParagraph"/>
        <w:numPr>
          <w:ilvl w:val="0"/>
          <w:numId w:val="2"/>
        </w:numPr>
        <w:spacing w:after="80" w:line="276"/>
      </w:pPr>
      <w:r>
        <w:rPr>
          <w:rFonts w:ascii="Arial" w:cs="Arial" w:eastAsia="Arial" w:hAnsi="Arial"/>
          <w:sz w:val="21"/>
          <w:szCs w:val="21"/>
        </w:rPr>
        <w:t xml:space="preserve">Contactos, empresas, oportunidades en un embudo simple, tareas y notas.</w:t>
      </w:r>
    </w:p>
    <w:p>
      <w:pPr>
        <w:pStyle w:val="ListParagraph"/>
        <w:numPr>
          <w:ilvl w:val="0"/>
          <w:numId w:val="2"/>
        </w:numPr>
        <w:spacing w:after="80" w:line="276"/>
      </w:pPr>
      <w:r>
        <w:rPr>
          <w:rFonts w:ascii="Arial" w:cs="Arial" w:eastAsia="Arial" w:hAnsi="Arial"/>
          <w:sz w:val="21"/>
          <w:szCs w:val="21"/>
        </w:rPr>
        <w:t xml:space="preserve">Los contactos los crea la propia cuenta, a mano o importando un archivo CSV. ROSS no los obtiene de ninguna otra fuente.</w:t>
      </w:r>
    </w:p>
    <w:p>
      <w:pPr>
        <w:pStyle w:val="ListParagraph"/>
        <w:numPr>
          <w:ilvl w:val="0"/>
          <w:numId w:val="2"/>
        </w:numPr>
        <w:spacing w:after="80" w:line="276"/>
      </w:pPr>
      <w:r>
        <w:rPr>
          <w:rFonts w:ascii="Arial" w:cs="Arial" w:eastAsia="Arial" w:hAnsi="Arial"/>
          <w:sz w:val="21"/>
          <w:szCs w:val="21"/>
        </w:rPr>
        <w:t xml:space="preserve">Los datos se guardan en claro, separados por cuenta. El detalle de campos está en el anexo A.</w:t>
      </w:r>
    </w:p>
    <w:p>
      <w:pPr>
        <w:pStyle w:val="ListParagraph"/>
        <w:numPr>
          <w:ilvl w:val="0"/>
          <w:numId w:val="2"/>
        </w:numPr>
        <w:spacing w:after="80" w:line="276"/>
      </w:pPr>
      <w:r>
        <w:rPr>
          <w:rFonts w:ascii="Arial" w:cs="Arial" w:eastAsia="Arial" w:hAnsi="Arial"/>
          <w:sz w:val="21"/>
          <w:szCs w:val="21"/>
        </w:rPr>
        <w:t xml:space="preserve">Los compradores de las tiendas no se copian al CRM y no hay vínculo con los pedidos.</w:t>
      </w:r>
    </w:p>
    <w:p>
      <w:pPr>
        <w:pStyle w:val="ListParagraph"/>
        <w:numPr>
          <w:ilvl w:val="0"/>
          <w:numId w:val="2"/>
        </w:numPr>
        <w:spacing w:after="80" w:line="276"/>
      </w:pPr>
      <w:r>
        <w:rPr>
          <w:rFonts w:ascii="Arial" w:cs="Arial" w:eastAsia="Arial" w:hAnsi="Arial"/>
          <w:sz w:val="21"/>
          <w:szCs w:val="21"/>
        </w:rPr>
        <w:t xml:space="preserve">No se envían correos ni mensajes desde el CRM en esta etapa.</w:t>
      </w:r>
    </w:p>
    <w:p>
      <w:pPr>
        <w:spacing w:after="120" w:line="276"/>
      </w:pPr>
      <w:r>
        <w:rPr>
          <w:rFonts w:ascii="Arial" w:cs="Arial" w:eastAsia="Arial" w:hAnsi="Arial"/>
          <w:sz w:val="21"/>
          <w:szCs w:val="21"/>
        </w:rPr>
        <w:t xml:space="preserve">Esto cambia la postura actual de no guardar datos personales de terceros en claro: los contactos del CRM sí son datos personales identificables.</w:t>
      </w:r>
    </w:p>
    <w:p>
      <w:pPr>
        <w:pStyle w:val="Heading1"/>
        <w:keepNext/>
        <w:spacing w:after="140" w:before="320"/>
      </w:pPr>
      <w:r>
        <w:rPr>
          <w:rFonts w:ascii="Arial" w:cs="Arial" w:eastAsia="Arial" w:hAnsi="Arial"/>
          <w:b/>
          <w:bCs/>
          <w:color w:val="1A2B4A"/>
          <w:sz w:val="28"/>
          <w:szCs w:val="28"/>
        </w:rPr>
        <w:t xml:space="preserve">4. El asistente de inteligencia artificial</w:t>
      </w:r>
    </w:p>
    <w:p>
      <w:pPr>
        <w:spacing w:after="120" w:line="276"/>
      </w:pPr>
      <w:r>
        <w:rPr>
          <w:rFonts w:ascii="Arial" w:cs="Arial" w:eastAsia="Arial" w:hAnsi="Arial"/>
          <w:sz w:val="21"/>
          <w:szCs w:val="21"/>
        </w:rPr>
        <w:t xml:space="preserve">Un asistente dentro de la aplicación responderá preguntas sobre las métricas de la tienda y, si el CRM está activo, podrá consultarlo y modificarlo con confirmación del usuario. Siempre actúa con los permisos del usuario que le habla.</w:t>
      </w:r>
    </w:p>
    <w:p>
      <w:pPr>
        <w:spacing w:after="120" w:line="276"/>
      </w:pPr>
      <w:r>
        <w:rPr>
          <w:rFonts w:ascii="Arial" w:cs="Arial" w:eastAsia="Arial" w:hAnsi="Arial"/>
          <w:sz w:val="21"/>
          <w:szCs w:val="21"/>
        </w:rPr>
        <w:t xml:space="preserve">El diseño busca que el asistente dependa cada vez menos de un modelo de inteligencia artificial: las consultas se resuelven primero con reglas y plantillas, y el modelo es el último recurso. El modelo previsto es de tipo híbrido: uno que corre en infraestructura propia y, como opción desactivada por defecto, uno de un tercero.</w:t>
      </w:r>
    </w:p>
    <w:p>
      <w:pPr>
        <w:pStyle w:val="Heading1"/>
        <w:keepNext/>
        <w:spacing w:after="140" w:before="320"/>
      </w:pPr>
      <w:r>
        <w:rPr>
          <w:rFonts w:ascii="Arial" w:cs="Arial" w:eastAsia="Arial" w:hAnsi="Arial"/>
          <w:b/>
          <w:bCs/>
          <w:color w:val="1A2B4A"/>
          <w:sz w:val="28"/>
          <w:szCs w:val="28"/>
        </w:rPr>
        <w:t xml:space="preserve">5. Quién puede acceder al CRM</w:t>
      </w:r>
    </w:p>
    <w:p>
      <w:pPr>
        <w:spacing w:after="120" w:line="276"/>
      </w:pPr>
      <w:r>
        <w:rPr>
          <w:rFonts w:ascii="Arial" w:cs="Arial" w:eastAsia="Arial" w:hAnsi="Arial"/>
          <w:sz w:val="21"/>
          <w:szCs w:val="21"/>
        </w:rPr>
        <w:t xml:space="preserve">Además de los roles actuales de la cuenta (propietario, administrador y lector), el CRM tiene dos roles propios: comercial y auditor. Se guardan aparte y solo existen en las cuentas que activan el módulo. El propietario y el administrador de la cuenta administran el CRM sin configurar nada.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40"/>
        <w:gridCol w:w="1400"/>
        <w:gridCol w:w="1400"/>
        <w:gridCol w:w="1400"/>
        <w:gridCol w:w="1400"/>
        <w:gridCol w:w="1398"/>
      </w:tblGrid>
      <w:tr>
        <w:trPr>
          <w:tblHeader/>
        </w:trPr>
        <w:tc>
          <w:tcPr>
            <w:tcW w:type="dxa" w:w="2640"/>
            <w:tcBorders>
              <w:top w:val="single" w:color="C9D3E3" w:sz="4"/>
              <w:left w:val="single" w:color="C9D3E3" w:sz="4"/>
              <w:bottom w:val="single" w:color="C9D3E3" w:sz="4"/>
              <w:right w:val="single" w:color="C9D3E3" w:sz="4"/>
            </w:tcBorders>
            <w:shd w:fill="EAF1F8" w:color="auto" w:val="clear"/>
            <w:tcMar>
              <w:top w:type="dxa" w:w="80"/>
              <w:left w:type="dxa" w:w="120"/>
              <w:bottom w:type="dxa" w:w="80"/>
              <w:right w:type="dxa" w:w="120"/>
            </w:tcMar>
          </w:tcPr>
          <w:p>
            <w:pPr>
              <w:spacing w:after="0" w:line="264"/>
            </w:pPr>
            <w:r>
              <w:rPr>
                <w:rFonts w:ascii="Arial" w:cs="Arial" w:eastAsia="Arial" w:hAnsi="Arial"/>
                <w:b/>
                <w:bCs/>
                <w:color w:val="1A2B4A"/>
                <w:sz w:val="19"/>
                <w:szCs w:val="19"/>
              </w:rPr>
              <w:t xml:space="preserve">Permiso</w:t>
            </w:r>
          </w:p>
        </w:tc>
        <w:tc>
          <w:tcPr>
            <w:tcW w:type="dxa" w:w="1400"/>
            <w:tcBorders>
              <w:top w:val="single" w:color="C9D3E3" w:sz="4"/>
              <w:left w:val="single" w:color="C9D3E3" w:sz="4"/>
              <w:bottom w:val="single" w:color="C9D3E3" w:sz="4"/>
              <w:right w:val="single" w:color="C9D3E3" w:sz="4"/>
            </w:tcBorders>
            <w:shd w:fill="EAF1F8" w:color="auto" w:val="clear"/>
            <w:tcMar>
              <w:top w:type="dxa" w:w="80"/>
              <w:left w:type="dxa" w:w="120"/>
              <w:bottom w:type="dxa" w:w="80"/>
              <w:right w:type="dxa" w:w="120"/>
            </w:tcMar>
          </w:tcPr>
          <w:p>
            <w:pPr>
              <w:spacing w:after="0" w:line="264"/>
            </w:pPr>
            <w:r>
              <w:rPr>
                <w:rFonts w:ascii="Arial" w:cs="Arial" w:eastAsia="Arial" w:hAnsi="Arial"/>
                <w:b/>
                <w:bCs/>
                <w:color w:val="1A2B4A"/>
                <w:sz w:val="19"/>
                <w:szCs w:val="19"/>
              </w:rPr>
              <w:t xml:space="preserve">Propietario</w:t>
            </w:r>
          </w:p>
        </w:tc>
        <w:tc>
          <w:tcPr>
            <w:tcW w:type="dxa" w:w="1400"/>
            <w:tcBorders>
              <w:top w:val="single" w:color="C9D3E3" w:sz="4"/>
              <w:left w:val="single" w:color="C9D3E3" w:sz="4"/>
              <w:bottom w:val="single" w:color="C9D3E3" w:sz="4"/>
              <w:right w:val="single" w:color="C9D3E3" w:sz="4"/>
            </w:tcBorders>
            <w:shd w:fill="EAF1F8" w:color="auto" w:val="clear"/>
            <w:tcMar>
              <w:top w:type="dxa" w:w="80"/>
              <w:left w:type="dxa" w:w="120"/>
              <w:bottom w:type="dxa" w:w="80"/>
              <w:right w:type="dxa" w:w="120"/>
            </w:tcMar>
          </w:tcPr>
          <w:p>
            <w:pPr>
              <w:spacing w:after="0" w:line="264"/>
            </w:pPr>
            <w:r>
              <w:rPr>
                <w:rFonts w:ascii="Arial" w:cs="Arial" w:eastAsia="Arial" w:hAnsi="Arial"/>
                <w:b/>
                <w:bCs/>
                <w:color w:val="1A2B4A"/>
                <w:sz w:val="19"/>
                <w:szCs w:val="19"/>
              </w:rPr>
              <w:t xml:space="preserve">Administrador</w:t>
            </w:r>
          </w:p>
        </w:tc>
        <w:tc>
          <w:tcPr>
            <w:tcW w:type="dxa" w:w="1400"/>
            <w:tcBorders>
              <w:top w:val="single" w:color="C9D3E3" w:sz="4"/>
              <w:left w:val="single" w:color="C9D3E3" w:sz="4"/>
              <w:bottom w:val="single" w:color="C9D3E3" w:sz="4"/>
              <w:right w:val="single" w:color="C9D3E3" w:sz="4"/>
            </w:tcBorders>
            <w:shd w:fill="EAF1F8" w:color="auto" w:val="clear"/>
            <w:tcMar>
              <w:top w:type="dxa" w:w="80"/>
              <w:left w:type="dxa" w:w="120"/>
              <w:bottom w:type="dxa" w:w="80"/>
              <w:right w:type="dxa" w:w="120"/>
            </w:tcMar>
          </w:tcPr>
          <w:p>
            <w:pPr>
              <w:spacing w:after="0" w:line="264"/>
            </w:pPr>
            <w:r>
              <w:rPr>
                <w:rFonts w:ascii="Arial" w:cs="Arial" w:eastAsia="Arial" w:hAnsi="Arial"/>
                <w:b/>
                <w:bCs/>
                <w:color w:val="1A2B4A"/>
                <w:sz w:val="19"/>
                <w:szCs w:val="19"/>
              </w:rPr>
              <w:t xml:space="preserve">Comercial</w:t>
            </w:r>
          </w:p>
        </w:tc>
        <w:tc>
          <w:tcPr>
            <w:tcW w:type="dxa" w:w="1400"/>
            <w:tcBorders>
              <w:top w:val="single" w:color="C9D3E3" w:sz="4"/>
              <w:left w:val="single" w:color="C9D3E3" w:sz="4"/>
              <w:bottom w:val="single" w:color="C9D3E3" w:sz="4"/>
              <w:right w:val="single" w:color="C9D3E3" w:sz="4"/>
            </w:tcBorders>
            <w:shd w:fill="EAF1F8" w:color="auto" w:val="clear"/>
            <w:tcMar>
              <w:top w:type="dxa" w:w="80"/>
              <w:left w:type="dxa" w:w="120"/>
              <w:bottom w:type="dxa" w:w="80"/>
              <w:right w:type="dxa" w:w="120"/>
            </w:tcMar>
          </w:tcPr>
          <w:p>
            <w:pPr>
              <w:spacing w:after="0" w:line="264"/>
            </w:pPr>
            <w:r>
              <w:rPr>
                <w:rFonts w:ascii="Arial" w:cs="Arial" w:eastAsia="Arial" w:hAnsi="Arial"/>
                <w:b/>
                <w:bCs/>
                <w:color w:val="1A2B4A"/>
                <w:sz w:val="19"/>
                <w:szCs w:val="19"/>
              </w:rPr>
              <w:t xml:space="preserve">Auditor</w:t>
            </w:r>
          </w:p>
        </w:tc>
        <w:tc>
          <w:tcPr>
            <w:tcW w:type="dxa" w:w="1398"/>
            <w:tcBorders>
              <w:top w:val="single" w:color="C9D3E3" w:sz="4"/>
              <w:left w:val="single" w:color="C9D3E3" w:sz="4"/>
              <w:bottom w:val="single" w:color="C9D3E3" w:sz="4"/>
              <w:right w:val="single" w:color="C9D3E3" w:sz="4"/>
            </w:tcBorders>
            <w:shd w:fill="EAF1F8" w:color="auto" w:val="clear"/>
            <w:tcMar>
              <w:top w:type="dxa" w:w="80"/>
              <w:left w:type="dxa" w:w="120"/>
              <w:bottom w:type="dxa" w:w="80"/>
              <w:right w:type="dxa" w:w="120"/>
            </w:tcMar>
          </w:tcPr>
          <w:p>
            <w:pPr>
              <w:spacing w:after="0" w:line="264"/>
            </w:pPr>
            <w:r>
              <w:rPr>
                <w:rFonts w:ascii="Arial" w:cs="Arial" w:eastAsia="Arial" w:hAnsi="Arial"/>
                <w:b/>
                <w:bCs/>
                <w:color w:val="1A2B4A"/>
                <w:sz w:val="19"/>
                <w:szCs w:val="19"/>
              </w:rPr>
              <w:t xml:space="preserve">Lector</w:t>
            </w:r>
          </w:p>
        </w:tc>
      </w:tr>
      <w:tr>
        <w:trPr>
          <w:cantSplit/>
        </w:trPr>
        <w:tc>
          <w:tcPr>
            <w:tcW w:type="dxa" w:w="264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Ver contactos y oportunidades</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39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r>
      <w:tr>
        <w:trPr>
          <w:cantSplit/>
        </w:trPr>
        <w:tc>
          <w:tcPr>
            <w:tcW w:type="dxa" w:w="264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Crear y editar contactos</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c>
          <w:tcPr>
            <w:tcW w:type="dxa" w:w="139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r>
      <w:tr>
        <w:trPr>
          <w:cantSplit/>
        </w:trPr>
        <w:tc>
          <w:tcPr>
            <w:tcW w:type="dxa" w:w="264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Gestionar oportunidades y tareas</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c>
          <w:tcPr>
            <w:tcW w:type="dxa" w:w="139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r>
      <w:tr>
        <w:trPr>
          <w:cantSplit/>
        </w:trPr>
        <w:tc>
          <w:tcPr>
            <w:tcW w:type="dxa" w:w="264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Importar un CSV</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c>
          <w:tcPr>
            <w:tcW w:type="dxa" w:w="139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r>
      <w:tr>
        <w:trPr>
          <w:cantSplit/>
        </w:trPr>
        <w:tc>
          <w:tcPr>
            <w:tcW w:type="dxa" w:w="264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Exportar los datos de un contacto</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39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r>
      <w:tr>
        <w:trPr>
          <w:cantSplit/>
        </w:trPr>
        <w:tc>
          <w:tcPr>
            <w:tcW w:type="dxa" w:w="264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Borrar un contacto</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Consulta</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c>
          <w:tcPr>
            <w:tcW w:type="dxa" w:w="139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r>
      <w:tr>
        <w:trPr>
          <w:cantSplit/>
        </w:trPr>
        <w:tc>
          <w:tcPr>
            <w:tcW w:type="dxa" w:w="264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Ver el registro de accesos</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39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r>
      <w:tr>
        <w:trPr>
          <w:cantSplit/>
        </w:trPr>
        <w:tc>
          <w:tcPr>
            <w:tcW w:type="dxa" w:w="264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Activar o desactivar el CRM</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c>
          <w:tcPr>
            <w:tcW w:type="dxa" w:w="139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r>
      <w:tr>
        <w:trPr>
          <w:cantSplit/>
        </w:trPr>
        <w:tc>
          <w:tcPr>
            <w:tcW w:type="dxa" w:w="264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Borrar todo el CRM</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c>
          <w:tcPr>
            <w:tcW w:type="dxa" w:w="139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r>
    </w:tbl>
    <w:p>
      <w:pPr>
        <w:spacing w:after="120"/>
      </w:pPr>
    </w:p>
    <w:p>
      <w:pPr>
        <w:spacing w:after="120" w:line="276"/>
      </w:pPr>
      <w:r>
        <w:rPr>
          <w:rFonts w:ascii="Arial" w:cs="Arial" w:eastAsia="Arial" w:hAnsi="Arial"/>
          <w:sz w:val="21"/>
          <w:szCs w:val="21"/>
        </w:rPr>
        <w:t xml:space="preserve">Consulta significa que el comercial no borra: genera una consulta de borrado con el motivo, y un administrador o propietario la aprueba o la rechaza. El registro de accesos del CRM está incluido en todos los planes que tienen CRM.</w:t>
      </w:r>
    </w:p>
    <w:p>
      <w:pPr>
        <w:pStyle w:val="Heading1"/>
        <w:keepNext/>
        <w:spacing w:after="140" w:before="320"/>
      </w:pPr>
      <w:r>
        <w:rPr>
          <w:rFonts w:ascii="Arial" w:cs="Arial" w:eastAsia="Arial" w:hAnsi="Arial"/>
          <w:b/>
          <w:bCs/>
          <w:color w:val="1A2B4A"/>
          <w:sz w:val="28"/>
          <w:szCs w:val="28"/>
        </w:rPr>
        <w:t xml:space="preserve">6. Consultas y soluciones propuestas</w:t>
      </w:r>
    </w:p>
    <w:p>
      <w:pPr>
        <w:spacing w:after="120" w:line="276"/>
      </w:pPr>
      <w:r>
        <w:rPr>
          <w:rFonts w:ascii="Arial" w:cs="Arial" w:eastAsia="Arial" w:hAnsi="Arial"/>
          <w:sz w:val="21"/>
          <w:szCs w:val="21"/>
        </w:rPr>
        <w:t xml:space="preserve">Cada punto tiene tres partes: qué se consulta, la solución que propone el equipo técnico y qué se le pide confirmar.</w:t>
      </w:r>
    </w:p>
    <w:p>
      <w:pPr>
        <w:pStyle w:val="Heading2"/>
        <w:keepNext/>
        <w:spacing w:after="100" w:before="240"/>
      </w:pPr>
      <w:r>
        <w:rPr>
          <w:rFonts w:ascii="Arial" w:cs="Arial" w:eastAsia="Arial" w:hAnsi="Arial"/>
          <w:b/>
          <w:bCs/>
          <w:color w:val="2263A2"/>
          <w:sz w:val="23"/>
          <w:szCs w:val="23"/>
        </w:rPr>
        <w:t xml:space="preserve">1. Roles y principio de tratamiento</w:t>
      </w:r>
    </w:p>
    <w:p>
      <w:pPr>
        <w:spacing w:after="100" w:line="276"/>
        <w:ind w:left="240"/>
      </w:pPr>
      <w:r>
        <w:rPr>
          <w:rFonts w:ascii="Arial" w:cs="Arial" w:eastAsia="Arial" w:hAnsi="Arial"/>
          <w:b/>
          <w:bCs/>
          <w:color w:val="1A2B4A"/>
          <w:sz w:val="21"/>
          <w:szCs w:val="21"/>
        </w:rPr>
        <w:t xml:space="preserve">Consulta. </w:t>
      </w:r>
      <w:r>
        <w:rPr>
          <w:rFonts w:ascii="Arial" w:cs="Arial" w:eastAsia="Arial" w:hAnsi="Arial"/>
          <w:sz w:val="21"/>
          <w:szCs w:val="21"/>
        </w:rPr>
        <w:t xml:space="preserve">El CRM guarda datos personales de terceros que la cuenta carga. ¿ROSS actúa como encargado del tratamiento y la cuenta como responsable?</w:t>
      </w:r>
    </w:p>
    <w:p>
      <w:pPr>
        <w:spacing w:after="100" w:line="276"/>
        <w:ind w:left="240"/>
      </w:pPr>
      <w:r>
        <w:rPr>
          <w:rFonts w:ascii="Arial" w:cs="Arial" w:eastAsia="Arial" w:hAnsi="Arial"/>
          <w:b/>
          <w:bCs/>
          <w:color w:val="1A2B4A"/>
          <w:sz w:val="21"/>
          <w:szCs w:val="21"/>
        </w:rPr>
        <w:t xml:space="preserve">Solución propuesta. </w:t>
      </w:r>
      <w:r>
        <w:rPr>
          <w:rFonts w:ascii="Arial" w:cs="Arial" w:eastAsia="Arial" w:hAnsi="Arial"/>
          <w:sz w:val="21"/>
          <w:szCs w:val="21"/>
        </w:rPr>
        <w:t xml:space="preserve">La cuenta es responsable de sus contactos. ROSS organiza y transporta esos datos para prestar el servicio, siguiendo las instrucciones de la cuenta: no los usa para fines propios, no los comparte ni los cruza con los de otras cuentas. El principio de diseño es que ROSS no los refleje en claro en ningún lugar fuera de la pantalla del usuario autorizado (ni en registros, trazas ni copias), y que viajen y se guarden cifrados. Las condiciones del encargo se aceptarían al activar el módulo, mediante una cláusula o anexo.</w:t>
      </w:r>
    </w:p>
    <w:p>
      <w:pPr>
        <w:spacing w:after="100" w:line="276"/>
        <w:ind w:left="240"/>
      </w:pPr>
      <w:r>
        <w:rPr>
          <w:rFonts w:ascii="Arial" w:cs="Arial" w:eastAsia="Arial" w:hAnsi="Arial"/>
          <w:b/>
          <w:bCs/>
          <w:color w:val="1A2B4A"/>
          <w:sz w:val="21"/>
          <w:szCs w:val="21"/>
        </w:rPr>
        <w:t xml:space="preserve">Se pide. </w:t>
      </w:r>
      <w:r>
        <w:rPr>
          <w:rFonts w:ascii="Arial" w:cs="Arial" w:eastAsia="Arial" w:hAnsi="Arial"/>
          <w:sz w:val="21"/>
          <w:szCs w:val="21"/>
        </w:rPr>
        <w:t xml:space="preserve">Confirmar los roles y redactar la cláusula o el anexo del encargo.</w:t>
      </w:r>
    </w:p>
    <w:p>
      <w:pPr>
        <w:pStyle w:val="Heading2"/>
        <w:keepNext/>
        <w:spacing w:after="100" w:before="240"/>
      </w:pPr>
      <w:r>
        <w:rPr>
          <w:rFonts w:ascii="Arial" w:cs="Arial" w:eastAsia="Arial" w:hAnsi="Arial"/>
          <w:b/>
          <w:bCs/>
          <w:color w:val="2263A2"/>
          <w:sz w:val="23"/>
          <w:szCs w:val="23"/>
        </w:rPr>
        <w:t xml:space="preserve">2. Base legal y finalidad de los contactos</w:t>
      </w:r>
    </w:p>
    <w:p>
      <w:pPr>
        <w:spacing w:after="100" w:line="276"/>
        <w:ind w:left="240"/>
      </w:pPr>
      <w:r>
        <w:rPr>
          <w:rFonts w:ascii="Arial" w:cs="Arial" w:eastAsia="Arial" w:hAnsi="Arial"/>
          <w:b/>
          <w:bCs/>
          <w:color w:val="1A2B4A"/>
          <w:sz w:val="21"/>
          <w:szCs w:val="21"/>
        </w:rPr>
        <w:t xml:space="preserve">Consulta. </w:t>
      </w:r>
      <w:r>
        <w:rPr>
          <w:rFonts w:ascii="Arial" w:cs="Arial" w:eastAsia="Arial" w:hAnsi="Arial"/>
          <w:sz w:val="21"/>
          <w:szCs w:val="21"/>
        </w:rPr>
        <w:t xml:space="preserve">ROSS no puede saber si la cuenta tiene derecho a tratar cada contacto. ¿Qué se necesita para que la responsabilidad quede bien asignada?</w:t>
      </w:r>
    </w:p>
    <w:p>
      <w:pPr>
        <w:spacing w:after="100" w:line="276"/>
        <w:ind w:left="240"/>
      </w:pPr>
      <w:r>
        <w:rPr>
          <w:rFonts w:ascii="Arial" w:cs="Arial" w:eastAsia="Arial" w:hAnsi="Arial"/>
          <w:b/>
          <w:bCs/>
          <w:color w:val="1A2B4A"/>
          <w:sz w:val="21"/>
          <w:szCs w:val="21"/>
        </w:rPr>
        <w:t xml:space="preserve">Solución propuesta. </w:t>
      </w:r>
      <w:r>
        <w:rPr>
          <w:rFonts w:ascii="Arial" w:cs="Arial" w:eastAsia="Arial" w:hAnsi="Arial"/>
          <w:sz w:val="21"/>
          <w:szCs w:val="21"/>
        </w:rPr>
        <w:t xml:space="preserve">Cada contacto tiene dos campos obligatorios: origen (cómo llegó) y finalidad (para qué se guarda). Al activar el módulo y al importar un archivo CSV, la cuenta declara que cuenta con una base legítima para tratar esos datos, y la declaración queda registrada con fecha y usuario. ROSS no verifica consentimientos. Adoptada por el equipo como solución de trabajo.</w:t>
      </w:r>
    </w:p>
    <w:p>
      <w:pPr>
        <w:spacing w:after="100" w:line="276"/>
        <w:ind w:left="240"/>
      </w:pPr>
      <w:r>
        <w:rPr>
          <w:rFonts w:ascii="Arial" w:cs="Arial" w:eastAsia="Arial" w:hAnsi="Arial"/>
          <w:b/>
          <w:bCs/>
          <w:color w:val="1A2B4A"/>
          <w:sz w:val="21"/>
          <w:szCs w:val="21"/>
        </w:rPr>
        <w:t xml:space="preserve">Se pide. </w:t>
      </w:r>
      <w:r>
        <w:rPr>
          <w:rFonts w:ascii="Arial" w:cs="Arial" w:eastAsia="Arial" w:hAnsi="Arial"/>
          <w:sz w:val="21"/>
          <w:szCs w:val="21"/>
        </w:rPr>
        <w:t xml:space="preserve">Decir si esa declaración registrada alcanza y aportar el texto.</w:t>
      </w:r>
    </w:p>
    <w:p>
      <w:pPr>
        <w:pStyle w:val="Heading2"/>
        <w:keepNext/>
        <w:spacing w:after="100" w:before="240"/>
      </w:pPr>
      <w:r>
        <w:rPr>
          <w:rFonts w:ascii="Arial" w:cs="Arial" w:eastAsia="Arial" w:hAnsi="Arial"/>
          <w:b/>
          <w:bCs/>
          <w:color w:val="2263A2"/>
          <w:sz w:val="23"/>
          <w:szCs w:val="23"/>
        </w:rPr>
        <w:t xml:space="preserve">3. Registro de bases de datos</w:t>
      </w:r>
    </w:p>
    <w:p>
      <w:pPr>
        <w:spacing w:after="100" w:line="276"/>
        <w:ind w:left="240"/>
      </w:pPr>
      <w:r>
        <w:rPr>
          <w:rFonts w:ascii="Arial" w:cs="Arial" w:eastAsia="Arial" w:hAnsi="Arial"/>
          <w:b/>
          <w:bCs/>
          <w:color w:val="1A2B4A"/>
          <w:sz w:val="21"/>
          <w:szCs w:val="21"/>
        </w:rPr>
        <w:t xml:space="preserve">Consulta. </w:t>
      </w:r>
      <w:r>
        <w:rPr>
          <w:rFonts w:ascii="Arial" w:cs="Arial" w:eastAsia="Arial" w:hAnsi="Arial"/>
          <w:sz w:val="21"/>
          <w:szCs w:val="21"/>
        </w:rPr>
        <w:t xml:space="preserve">¿Corresponde registrar esta base de datos ante la autoridad de protección de datos personales (en Argentina, la AAIP, ley 25.326), y quién debe hacerlo: ROSS, la cuenta o ambas?</w:t>
      </w:r>
    </w:p>
    <w:p>
      <w:pPr>
        <w:spacing w:after="100" w:line="276"/>
        <w:ind w:left="240"/>
      </w:pPr>
      <w:r>
        <w:rPr>
          <w:rFonts w:ascii="Arial" w:cs="Arial" w:eastAsia="Arial" w:hAnsi="Arial"/>
          <w:b/>
          <w:bCs/>
          <w:color w:val="1A2B4A"/>
          <w:sz w:val="21"/>
          <w:szCs w:val="21"/>
        </w:rPr>
        <w:t xml:space="preserve">Solución propuesta. </w:t>
      </w:r>
      <w:r>
        <w:rPr>
          <w:rFonts w:ascii="Arial" w:cs="Arial" w:eastAsia="Arial" w:hAnsi="Arial"/>
          <w:sz w:val="21"/>
          <w:szCs w:val="21"/>
        </w:rPr>
        <w:t xml:space="preserve">ROSS no puede determinarlo. Aportará la descripción técnica de los datos y las medidas de seguridad (anexos A y B) y la cantidad de registros a pedido.</w:t>
      </w:r>
    </w:p>
    <w:p>
      <w:pPr>
        <w:spacing w:after="100" w:line="276"/>
        <w:ind w:left="240"/>
      </w:pPr>
      <w:r>
        <w:rPr>
          <w:rFonts w:ascii="Arial" w:cs="Arial" w:eastAsia="Arial" w:hAnsi="Arial"/>
          <w:b/>
          <w:bCs/>
          <w:color w:val="1A2B4A"/>
          <w:sz w:val="21"/>
          <w:szCs w:val="21"/>
        </w:rPr>
        <w:t xml:space="preserve">Se pide. </w:t>
      </w:r>
      <w:r>
        <w:rPr>
          <w:rFonts w:ascii="Arial" w:cs="Arial" w:eastAsia="Arial" w:hAnsi="Arial"/>
          <w:sz w:val="21"/>
          <w:szCs w:val="21"/>
        </w:rPr>
        <w:t xml:space="preserve">Determinar si corresponde el registro, quién lo hace y con qué plazo.</w:t>
      </w:r>
    </w:p>
    <w:p>
      <w:pPr>
        <w:pStyle w:val="Heading2"/>
        <w:keepNext/>
        <w:spacing w:after="100" w:before="240"/>
      </w:pPr>
      <w:r>
        <w:rPr>
          <w:rFonts w:ascii="Arial" w:cs="Arial" w:eastAsia="Arial" w:hAnsi="Arial"/>
          <w:b/>
          <w:bCs/>
          <w:color w:val="2263A2"/>
          <w:sz w:val="23"/>
          <w:szCs w:val="23"/>
        </w:rPr>
        <w:t xml:space="preserve">4. Alojamiento y transferencia internacional</w:t>
      </w:r>
    </w:p>
    <w:p>
      <w:pPr>
        <w:spacing w:after="100" w:line="276"/>
        <w:ind w:left="240"/>
      </w:pPr>
      <w:r>
        <w:rPr>
          <w:rFonts w:ascii="Arial" w:cs="Arial" w:eastAsia="Arial" w:hAnsi="Arial"/>
          <w:b/>
          <w:bCs/>
          <w:color w:val="1A2B4A"/>
          <w:sz w:val="21"/>
          <w:szCs w:val="21"/>
        </w:rPr>
        <w:t xml:space="preserve">Consulta. </w:t>
      </w:r>
      <w:r>
        <w:rPr>
          <w:rFonts w:ascii="Arial" w:cs="Arial" w:eastAsia="Arial" w:hAnsi="Arial"/>
          <w:sz w:val="21"/>
          <w:szCs w:val="21"/>
        </w:rPr>
        <w:t xml:space="preserve">¿Qué se requiere para alojar los datos y para que un proveedor de inteligencia artificial los reciba?</w:t>
      </w:r>
    </w:p>
    <w:p>
      <w:pPr>
        <w:spacing w:after="100" w:line="276"/>
        <w:ind w:left="240"/>
      </w:pPr>
      <w:r>
        <w:rPr>
          <w:rFonts w:ascii="Arial" w:cs="Arial" w:eastAsia="Arial" w:hAnsi="Arial"/>
          <w:b/>
          <w:bCs/>
          <w:color w:val="1A2B4A"/>
          <w:sz w:val="21"/>
          <w:szCs w:val="21"/>
        </w:rPr>
        <w:t xml:space="preserve">Solución propuesta. </w:t>
      </w:r>
      <w:r>
        <w:rPr>
          <w:rFonts w:ascii="Arial" w:cs="Arial" w:eastAsia="Arial" w:hAnsi="Arial"/>
          <w:sz w:val="21"/>
          <w:szCs w:val="21"/>
        </w:rPr>
        <w:t xml:space="preserve">Decisión actual: todo se mantiene en el plano nacional y la cuestión se profundiza más adelante. Los datos del CRM solo irían a un modelo propio, y las conexiones a modelos externos están desactivadas por defecto, con un bloqueo técnico que todavía no está construido. El alojamiento actual es Railway, región </w:t>
      </w:r>
      <w:r>
        <w:rPr>
          <w:rFonts w:ascii="Arial" w:cs="Arial" w:eastAsia="Arial" w:hAnsi="Arial"/>
          <w:sz w:val="21"/>
          <w:szCs w:val="21"/>
          <w:highlight w:val="yellow"/>
        </w:rPr>
        <w:t xml:space="preserve">[completar la región del alojamiento]</w:t>
      </w:r>
      <w:r>
        <w:rPr>
          <w:rFonts w:ascii="Arial" w:cs="Arial" w:eastAsia="Arial" w:hAnsi="Arial"/>
          <w:sz w:val="21"/>
          <w:szCs w:val="21"/>
        </w:rPr>
        <w:t xml:space="preserve">, y debe contrastarse con ese criterio.</w:t>
      </w:r>
    </w:p>
    <w:p>
      <w:pPr>
        <w:spacing w:after="100" w:line="276"/>
        <w:ind w:left="240"/>
      </w:pPr>
      <w:r>
        <w:rPr>
          <w:rFonts w:ascii="Arial" w:cs="Arial" w:eastAsia="Arial" w:hAnsi="Arial"/>
          <w:b/>
          <w:bCs/>
          <w:color w:val="1A2B4A"/>
          <w:sz w:val="21"/>
          <w:szCs w:val="21"/>
        </w:rPr>
        <w:t xml:space="preserve">Se pide. </w:t>
      </w:r>
      <w:r>
        <w:rPr>
          <w:rFonts w:ascii="Arial" w:cs="Arial" w:eastAsia="Arial" w:hAnsi="Arial"/>
          <w:sz w:val="21"/>
          <w:szCs w:val="21"/>
        </w:rPr>
        <w:t xml:space="preserve">Indicar qué se requiere para un alojamiento nacional y si la restricción propuesta cubre el riesgo de transferencia.</w:t>
      </w:r>
    </w:p>
    <w:p>
      <w:pPr>
        <w:pStyle w:val="Heading2"/>
        <w:keepNext/>
        <w:spacing w:after="100" w:before="240"/>
      </w:pPr>
      <w:r>
        <w:rPr>
          <w:rFonts w:ascii="Arial" w:cs="Arial" w:eastAsia="Arial" w:hAnsi="Arial"/>
          <w:b/>
          <w:bCs/>
          <w:color w:val="2263A2"/>
          <w:sz w:val="23"/>
          <w:szCs w:val="23"/>
        </w:rPr>
        <w:t xml:space="preserve">5. Derechos de las personas (acceso, rectificación y supresión)</w:t>
      </w:r>
    </w:p>
    <w:p>
      <w:pPr>
        <w:spacing w:after="100" w:line="276"/>
        <w:ind w:left="240"/>
      </w:pPr>
      <w:r>
        <w:rPr>
          <w:rFonts w:ascii="Arial" w:cs="Arial" w:eastAsia="Arial" w:hAnsi="Arial"/>
          <w:b/>
          <w:bCs/>
          <w:color w:val="1A2B4A"/>
          <w:sz w:val="21"/>
          <w:szCs w:val="21"/>
        </w:rPr>
        <w:t xml:space="preserve">Consulta. </w:t>
      </w:r>
      <w:r>
        <w:rPr>
          <w:rFonts w:ascii="Arial" w:cs="Arial" w:eastAsia="Arial" w:hAnsi="Arial"/>
          <w:sz w:val="21"/>
          <w:szCs w:val="21"/>
        </w:rPr>
        <w:t xml:space="preserve">¿Cómo se atienden los pedidos de los titulares de los contactos?</w:t>
      </w:r>
    </w:p>
    <w:p>
      <w:pPr>
        <w:spacing w:after="100" w:line="276"/>
        <w:ind w:left="240"/>
      </w:pPr>
      <w:r>
        <w:rPr>
          <w:rFonts w:ascii="Arial" w:cs="Arial" w:eastAsia="Arial" w:hAnsi="Arial"/>
          <w:b/>
          <w:bCs/>
          <w:color w:val="1A2B4A"/>
          <w:sz w:val="21"/>
          <w:szCs w:val="21"/>
        </w:rPr>
        <w:t xml:space="preserve">Solución propuesta. </w:t>
      </w:r>
      <w:r>
        <w:rPr>
          <w:rFonts w:ascii="Arial" w:cs="Arial" w:eastAsia="Arial" w:hAnsi="Arial"/>
          <w:sz w:val="21"/>
          <w:szCs w:val="21"/>
        </w:rPr>
        <w:t xml:space="preserve">Un contacto se puede exportar, corregir y borrar. Exportar los datos de un contacto pueden hacerlo los administradores, los comerciales y los auditores. La exportación se conserva 30 días y luego queda archivada en una ficha del pedido, sin los datos exportados. El borrado definitivo, con sus notas y tareas, lo hacen solo los administradores: un comercial genera una consulta de borrado que un administrador resuelve. Cada borrado deja una constancia durante 7 días, sin datos personales (identificador, fecha y quién borró). La cuenta atiende los pedidos de sus titulares, y ROSS deriva a la cuenta los que reciba.</w:t>
      </w:r>
    </w:p>
    <w:p>
      <w:pPr>
        <w:spacing w:after="100" w:line="276"/>
        <w:ind w:left="240"/>
      </w:pPr>
      <w:r>
        <w:rPr>
          <w:rFonts w:ascii="Arial" w:cs="Arial" w:eastAsia="Arial" w:hAnsi="Arial"/>
          <w:b/>
          <w:bCs/>
          <w:color w:val="1A2B4A"/>
          <w:sz w:val="21"/>
          <w:szCs w:val="21"/>
        </w:rPr>
        <w:t xml:space="preserve">Se pide. </w:t>
      </w:r>
      <w:r>
        <w:rPr>
          <w:rFonts w:ascii="Arial" w:cs="Arial" w:eastAsia="Arial" w:hAnsi="Arial"/>
          <w:sz w:val="21"/>
          <w:szCs w:val="21"/>
        </w:rPr>
        <w:t xml:space="preserve">Definir plazos de respuesta, canal y quién responde, y si el borrado debe dejar una constancia más larga que 7 días.</w:t>
      </w:r>
    </w:p>
    <w:p>
      <w:pPr>
        <w:pStyle w:val="Heading2"/>
        <w:keepNext/>
        <w:spacing w:after="100" w:before="240"/>
      </w:pPr>
      <w:r>
        <w:rPr>
          <w:rFonts w:ascii="Arial" w:cs="Arial" w:eastAsia="Arial" w:hAnsi="Arial"/>
          <w:b/>
          <w:bCs/>
          <w:color w:val="2263A2"/>
          <w:sz w:val="23"/>
          <w:szCs w:val="23"/>
        </w:rPr>
        <w:t xml:space="preserve">6. Retención, baja de plan y cierre de cuenta</w:t>
      </w:r>
    </w:p>
    <w:p>
      <w:pPr>
        <w:spacing w:after="100" w:line="276"/>
        <w:ind w:left="240"/>
      </w:pPr>
      <w:r>
        <w:rPr>
          <w:rFonts w:ascii="Arial" w:cs="Arial" w:eastAsia="Arial" w:hAnsi="Arial"/>
          <w:b/>
          <w:bCs/>
          <w:color w:val="1A2B4A"/>
          <w:sz w:val="21"/>
          <w:szCs w:val="21"/>
        </w:rPr>
        <w:t xml:space="preserve">Consulta. </w:t>
      </w:r>
      <w:r>
        <w:rPr>
          <w:rFonts w:ascii="Arial" w:cs="Arial" w:eastAsia="Arial" w:hAnsi="Arial"/>
          <w:sz w:val="21"/>
          <w:szCs w:val="21"/>
        </w:rPr>
        <w:t xml:space="preserve">¿Cuánto tiempo pueden conservarse los datos y qué pasa cuando la cuenta baja de plan o se cierra?</w:t>
      </w:r>
    </w:p>
    <w:p>
      <w:pPr>
        <w:spacing w:after="100" w:line="276"/>
        <w:ind w:left="240"/>
      </w:pPr>
      <w:r>
        <w:rPr>
          <w:rFonts w:ascii="Arial" w:cs="Arial" w:eastAsia="Arial" w:hAnsi="Arial"/>
          <w:b/>
          <w:bCs/>
          <w:color w:val="1A2B4A"/>
          <w:sz w:val="21"/>
          <w:szCs w:val="21"/>
        </w:rPr>
        <w:t xml:space="preserve">Solución propuesta. </w:t>
      </w:r>
      <w:r>
        <w:rPr>
          <w:rFonts w:ascii="Arial" w:cs="Arial" w:eastAsia="Arial" w:hAnsi="Arial"/>
          <w:sz w:val="21"/>
          <w:szCs w:val="21"/>
        </w:rPr>
        <w:t xml:space="preserve">Al eliminar una cuenta se borra todo. Cuando una cuenta baja a un plan sin CRM, el producto funciona sin su lógica y los datos quedan conservados y aislados, sin acceso desde el producto, y exportar y borrar siguen disponibles. A los 180 días de la baja se borran de forma definitiva. Si la cuenta reactiva el módulo antes, los datos se restituyen. Permanencia en copias de seguridad: </w:t>
      </w:r>
      <w:r>
        <w:rPr>
          <w:rFonts w:ascii="Arial" w:cs="Arial" w:eastAsia="Arial" w:hAnsi="Arial"/>
          <w:sz w:val="21"/>
          <w:szCs w:val="21"/>
          <w:highlight w:val="yellow"/>
        </w:rPr>
        <w:t xml:space="preserve">[confirmar con el proveedor de alojamiento]</w:t>
      </w:r>
      <w:r>
        <w:rPr>
          <w:rFonts w:ascii="Arial" w:cs="Arial" w:eastAsia="Arial" w:hAnsi="Arial"/>
          <w:sz w:val="21"/>
          <w:szCs w:val="21"/>
        </w:rPr>
        <w:t xml:space="preserve">.</w:t>
      </w:r>
    </w:p>
    <w:p>
      <w:pPr>
        <w:spacing w:after="100" w:line="276"/>
        <w:ind w:left="240"/>
      </w:pPr>
      <w:r>
        <w:rPr>
          <w:rFonts w:ascii="Arial" w:cs="Arial" w:eastAsia="Arial" w:hAnsi="Arial"/>
          <w:b/>
          <w:bCs/>
          <w:color w:val="1A2B4A"/>
          <w:sz w:val="21"/>
          <w:szCs w:val="21"/>
        </w:rPr>
        <w:t xml:space="preserve">Se pide. </w:t>
      </w:r>
      <w:r>
        <w:rPr>
          <w:rFonts w:ascii="Arial" w:cs="Arial" w:eastAsia="Arial" w:hAnsi="Arial"/>
          <w:sz w:val="21"/>
          <w:szCs w:val="21"/>
        </w:rPr>
        <w:t xml:space="preserve">Confirmar que 180 días es un plazo adecuado y el tratamiento de las copias de seguridad.</w:t>
      </w:r>
    </w:p>
    <w:p>
      <w:pPr>
        <w:pStyle w:val="Heading2"/>
        <w:keepNext/>
        <w:spacing w:after="100" w:before="240"/>
      </w:pPr>
      <w:r>
        <w:rPr>
          <w:rFonts w:ascii="Arial" w:cs="Arial" w:eastAsia="Arial" w:hAnsi="Arial"/>
          <w:b/>
          <w:bCs/>
          <w:color w:val="2263A2"/>
          <w:sz w:val="23"/>
          <w:szCs w:val="23"/>
        </w:rPr>
        <w:t xml:space="preserve">7. Seguridad de los datos</w:t>
      </w:r>
    </w:p>
    <w:p>
      <w:pPr>
        <w:spacing w:after="100" w:line="276"/>
        <w:ind w:left="240"/>
      </w:pPr>
      <w:r>
        <w:rPr>
          <w:rFonts w:ascii="Arial" w:cs="Arial" w:eastAsia="Arial" w:hAnsi="Arial"/>
          <w:b/>
          <w:bCs/>
          <w:color w:val="1A2B4A"/>
          <w:sz w:val="21"/>
          <w:szCs w:val="21"/>
        </w:rPr>
        <w:t xml:space="preserve">Consulta. </w:t>
      </w:r>
      <w:r>
        <w:rPr>
          <w:rFonts w:ascii="Arial" w:cs="Arial" w:eastAsia="Arial" w:hAnsi="Arial"/>
          <w:sz w:val="21"/>
          <w:szCs w:val="21"/>
        </w:rPr>
        <w:t xml:space="preserve">¿Son suficientes las medidas actuales (anexo B) y las definidas para datos personales de terceros?</w:t>
      </w:r>
    </w:p>
    <w:p>
      <w:pPr>
        <w:spacing w:after="100" w:line="276"/>
        <w:ind w:left="240"/>
      </w:pPr>
      <w:r>
        <w:rPr>
          <w:rFonts w:ascii="Arial" w:cs="Arial" w:eastAsia="Arial" w:hAnsi="Arial"/>
          <w:b/>
          <w:bCs/>
          <w:color w:val="1A2B4A"/>
          <w:sz w:val="21"/>
          <w:szCs w:val="21"/>
        </w:rPr>
        <w:t xml:space="preserve">Solución propuesta. </w:t>
      </w:r>
      <w:r>
        <w:rPr>
          <w:rFonts w:ascii="Arial" w:cs="Arial" w:eastAsia="Arial" w:hAnsi="Arial"/>
          <w:sz w:val="21"/>
          <w:szCs w:val="21"/>
        </w:rPr>
        <w:t xml:space="preserve">Cifrado en reposo exigido: los campos que identifican a la persona se cifran por campo con una clave por cuenta y se descifran solo en memoria para un usuario autorizado. Para buscar por coincidencia exacta se guarda además un hash. Registro de accesos: exportaciones y borrados, cada apertura de la ficha de un contacto, los accesos del asistente, los intentos denegados y los cambios de permisos. Guarda identificadores, nunca el dato, y se conserva 12 meses. Pruebas automáticas de aislamiento entre cuentas para cada ruta del CRM.</w:t>
      </w:r>
    </w:p>
    <w:p>
      <w:pPr>
        <w:spacing w:after="100" w:line="276"/>
        <w:ind w:left="240"/>
      </w:pPr>
      <w:r>
        <w:rPr>
          <w:rFonts w:ascii="Arial" w:cs="Arial" w:eastAsia="Arial" w:hAnsi="Arial"/>
          <w:b/>
          <w:bCs/>
          <w:color w:val="1A2B4A"/>
          <w:sz w:val="21"/>
          <w:szCs w:val="21"/>
        </w:rPr>
        <w:t xml:space="preserve">Se pide. </w:t>
      </w:r>
      <w:r>
        <w:rPr>
          <w:rFonts w:ascii="Arial" w:cs="Arial" w:eastAsia="Arial" w:hAnsi="Arial"/>
          <w:sz w:val="21"/>
          <w:szCs w:val="21"/>
        </w:rPr>
        <w:t xml:space="preserve">Confirmar que ese nivel de cifrado y de registro es suficiente, y si 12 meses es el plazo adecuado.</w:t>
      </w:r>
    </w:p>
    <w:p>
      <w:pPr>
        <w:pStyle w:val="Heading2"/>
        <w:keepNext/>
        <w:spacing w:after="100" w:before="240"/>
      </w:pPr>
      <w:r>
        <w:rPr>
          <w:rFonts w:ascii="Arial" w:cs="Arial" w:eastAsia="Arial" w:hAnsi="Arial"/>
          <w:b/>
          <w:bCs/>
          <w:color w:val="2263A2"/>
          <w:sz w:val="23"/>
          <w:szCs w:val="23"/>
        </w:rPr>
        <w:t xml:space="preserve">8. Notas de texto libre y datos sensibles</w:t>
      </w:r>
    </w:p>
    <w:p>
      <w:pPr>
        <w:spacing w:after="100" w:line="276"/>
        <w:ind w:left="240"/>
      </w:pPr>
      <w:r>
        <w:rPr>
          <w:rFonts w:ascii="Arial" w:cs="Arial" w:eastAsia="Arial" w:hAnsi="Arial"/>
          <w:b/>
          <w:bCs/>
          <w:color w:val="1A2B4A"/>
          <w:sz w:val="21"/>
          <w:szCs w:val="21"/>
        </w:rPr>
        <w:t xml:space="preserve">Consulta. </w:t>
      </w:r>
      <w:r>
        <w:rPr>
          <w:rFonts w:ascii="Arial" w:cs="Arial" w:eastAsia="Arial" w:hAnsi="Arial"/>
          <w:sz w:val="21"/>
          <w:szCs w:val="21"/>
        </w:rPr>
        <w:t xml:space="preserve">Un campo de notas puede contener datos sensibles (salud, opiniones políticas, etc.). ¿Cómo se limita ese riesgo?</w:t>
      </w:r>
    </w:p>
    <w:p>
      <w:pPr>
        <w:spacing w:after="100" w:line="276"/>
        <w:ind w:left="240"/>
      </w:pPr>
      <w:r>
        <w:rPr>
          <w:rFonts w:ascii="Arial" w:cs="Arial" w:eastAsia="Arial" w:hAnsi="Arial"/>
          <w:b/>
          <w:bCs/>
          <w:color w:val="1A2B4A"/>
          <w:sz w:val="21"/>
          <w:szCs w:val="21"/>
        </w:rPr>
        <w:t xml:space="preserve">Solución propuesta. </w:t>
      </w:r>
      <w:r>
        <w:rPr>
          <w:rFonts w:ascii="Arial" w:cs="Arial" w:eastAsia="Arial" w:hAnsi="Arial"/>
          <w:sz w:val="21"/>
          <w:szCs w:val="21"/>
        </w:rPr>
        <w:t xml:space="preserve">Aviso junto al campo, prohibición expresa de cargar datos sensibles en los términos de servicio y un límite de 2.000 caracteres. El asistente solo lee las notas si el usuario lo pide. Adoptada por el equipo como solución de trabajo.</w:t>
      </w:r>
    </w:p>
    <w:p>
      <w:pPr>
        <w:spacing w:after="100" w:line="276"/>
        <w:ind w:left="240"/>
      </w:pPr>
      <w:r>
        <w:rPr>
          <w:rFonts w:ascii="Arial" w:cs="Arial" w:eastAsia="Arial" w:hAnsi="Arial"/>
          <w:b/>
          <w:bCs/>
          <w:color w:val="1A2B4A"/>
          <w:sz w:val="21"/>
          <w:szCs w:val="21"/>
        </w:rPr>
        <w:t xml:space="preserve">Se pide. </w:t>
      </w:r>
      <w:r>
        <w:rPr>
          <w:rFonts w:ascii="Arial" w:cs="Arial" w:eastAsia="Arial" w:hAnsi="Arial"/>
          <w:sz w:val="21"/>
          <w:szCs w:val="21"/>
        </w:rPr>
        <w:t xml:space="preserve">Redactar la restricción y confirmar si estas medidas son suficientes.</w:t>
      </w:r>
    </w:p>
    <w:p>
      <w:pPr>
        <w:pStyle w:val="Heading2"/>
        <w:keepNext/>
        <w:spacing w:after="100" w:before="240"/>
      </w:pPr>
      <w:r>
        <w:rPr>
          <w:rFonts w:ascii="Arial" w:cs="Arial" w:eastAsia="Arial" w:hAnsi="Arial"/>
          <w:b/>
          <w:bCs/>
          <w:color w:val="2263A2"/>
          <w:sz w:val="23"/>
          <w:szCs w:val="23"/>
        </w:rPr>
        <w:t xml:space="preserve">9. Uso de las interacciones con el asistente para mejorar las respuestas</w:t>
      </w:r>
    </w:p>
    <w:p>
      <w:pPr>
        <w:spacing w:after="100" w:line="276"/>
        <w:ind w:left="240"/>
      </w:pPr>
      <w:r>
        <w:rPr>
          <w:rFonts w:ascii="Arial" w:cs="Arial" w:eastAsia="Arial" w:hAnsi="Arial"/>
          <w:b/>
          <w:bCs/>
          <w:color w:val="1A2B4A"/>
          <w:sz w:val="21"/>
          <w:szCs w:val="21"/>
        </w:rPr>
        <w:t xml:space="preserve">Consulta. </w:t>
      </w:r>
      <w:r>
        <w:rPr>
          <w:rFonts w:ascii="Arial" w:cs="Arial" w:eastAsia="Arial" w:hAnsi="Arial"/>
          <w:sz w:val="21"/>
          <w:szCs w:val="21"/>
        </w:rPr>
        <w:t xml:space="preserve">El sistema aprende de qué respuestas resultaron útiles. ¿Qué aviso y qué consentimiento hacen falta?</w:t>
      </w:r>
    </w:p>
    <w:p>
      <w:pPr>
        <w:spacing w:after="100" w:line="276"/>
        <w:ind w:left="240"/>
      </w:pPr>
      <w:r>
        <w:rPr>
          <w:rFonts w:ascii="Arial" w:cs="Arial" w:eastAsia="Arial" w:hAnsi="Arial"/>
          <w:b/>
          <w:bCs/>
          <w:color w:val="1A2B4A"/>
          <w:sz w:val="21"/>
          <w:szCs w:val="21"/>
        </w:rPr>
        <w:t xml:space="preserve">Solución propuesta. </w:t>
      </w:r>
      <w:r>
        <w:rPr>
          <w:rFonts w:ascii="Arial" w:cs="Arial" w:eastAsia="Arial" w:hAnsi="Arial"/>
          <w:sz w:val="21"/>
          <w:szCs w:val="21"/>
        </w:rPr>
        <w:t xml:space="preserve">Solo se guardan datos de estructura: tipo de consulta, herramienta usada, nivel de resolución, tiempos y una medida de utilidad. Las preguntas se guardan normalizadas, sin nombres ni montos, y se descarta el texto libre. Nunca se usa el contenido de una cuenta para otra. Habría un aviso explícito con la opción de no participar, y los registros vencen a los 180 días. Adoptada por el equipo como solución de trabajo.</w:t>
      </w:r>
    </w:p>
    <w:p>
      <w:pPr>
        <w:spacing w:after="100" w:line="276"/>
        <w:ind w:left="240"/>
      </w:pPr>
      <w:r>
        <w:rPr>
          <w:rFonts w:ascii="Arial" w:cs="Arial" w:eastAsia="Arial" w:hAnsi="Arial"/>
          <w:b/>
          <w:bCs/>
          <w:color w:val="1A2B4A"/>
          <w:sz w:val="21"/>
          <w:szCs w:val="21"/>
        </w:rPr>
        <w:t xml:space="preserve">Se pide. </w:t>
      </w:r>
      <w:r>
        <w:rPr>
          <w:rFonts w:ascii="Arial" w:cs="Arial" w:eastAsia="Arial" w:hAnsi="Arial"/>
          <w:sz w:val="21"/>
          <w:szCs w:val="21"/>
        </w:rPr>
        <w:t xml:space="preserve">Redactar el aviso y decir si alcanza con la opción de salir o hace falta consentimiento previo.</w:t>
      </w:r>
    </w:p>
    <w:p>
      <w:pPr>
        <w:pStyle w:val="Heading2"/>
        <w:keepNext/>
        <w:spacing w:after="100" w:before="240"/>
      </w:pPr>
      <w:r>
        <w:rPr>
          <w:rFonts w:ascii="Arial" w:cs="Arial" w:eastAsia="Arial" w:hAnsi="Arial"/>
          <w:b/>
          <w:bCs/>
          <w:color w:val="2263A2"/>
          <w:sz w:val="23"/>
          <w:szCs w:val="23"/>
        </w:rPr>
        <w:t xml:space="preserve">10. Acciones del asistente sobre el CRM</w:t>
      </w:r>
    </w:p>
    <w:p>
      <w:pPr>
        <w:spacing w:after="100" w:line="276"/>
        <w:ind w:left="240"/>
      </w:pPr>
      <w:r>
        <w:rPr>
          <w:rFonts w:ascii="Arial" w:cs="Arial" w:eastAsia="Arial" w:hAnsi="Arial"/>
          <w:b/>
          <w:bCs/>
          <w:color w:val="1A2B4A"/>
          <w:sz w:val="21"/>
          <w:szCs w:val="21"/>
        </w:rPr>
        <w:t xml:space="preserve">Consulta. </w:t>
      </w:r>
      <w:r>
        <w:rPr>
          <w:rFonts w:ascii="Arial" w:cs="Arial" w:eastAsia="Arial" w:hAnsi="Arial"/>
          <w:sz w:val="21"/>
          <w:szCs w:val="21"/>
        </w:rPr>
        <w:t xml:space="preserve">El asistente podrá consultar y, con confirmación, modificar el CRM. ¿Hay objeciones?</w:t>
      </w:r>
    </w:p>
    <w:p>
      <w:pPr>
        <w:spacing w:after="100" w:line="276"/>
        <w:ind w:left="240"/>
      </w:pPr>
      <w:r>
        <w:rPr>
          <w:rFonts w:ascii="Arial" w:cs="Arial" w:eastAsia="Arial" w:hAnsi="Arial"/>
          <w:b/>
          <w:bCs/>
          <w:color w:val="1A2B4A"/>
          <w:sz w:val="21"/>
          <w:szCs w:val="21"/>
        </w:rPr>
        <w:t xml:space="preserve">Solución propuesta. </w:t>
      </w:r>
      <w:r>
        <w:rPr>
          <w:rFonts w:ascii="Arial" w:cs="Arial" w:eastAsia="Arial" w:hAnsi="Arial"/>
          <w:sz w:val="21"/>
          <w:szCs w:val="21"/>
        </w:rPr>
        <w:t xml:space="preserve">El asistente nunca tiene más permisos que el usuario que le habla. Toda modificación requiere una confirmación visible y queda registrada. Enviar mensajes, borrar registros y las acciones financieras están deshabilitados hasta que existan controles adicionales. No hay decisiones automatizadas sobre personas ni puntuación de contactos. Adoptada por el equipo como solución de trabajo.</w:t>
      </w:r>
    </w:p>
    <w:p>
      <w:pPr>
        <w:spacing w:after="100" w:line="276"/>
        <w:ind w:left="240"/>
      </w:pPr>
      <w:r>
        <w:rPr>
          <w:rFonts w:ascii="Arial" w:cs="Arial" w:eastAsia="Arial" w:hAnsi="Arial"/>
          <w:b/>
          <w:bCs/>
          <w:color w:val="1A2B4A"/>
          <w:sz w:val="21"/>
          <w:szCs w:val="21"/>
        </w:rPr>
        <w:t xml:space="preserve">Se pide. </w:t>
      </w:r>
      <w:r>
        <w:rPr>
          <w:rFonts w:ascii="Arial" w:cs="Arial" w:eastAsia="Arial" w:hAnsi="Arial"/>
          <w:sz w:val="21"/>
          <w:szCs w:val="21"/>
        </w:rPr>
        <w:t xml:space="preserve">Confirmar que no hay objeciones y qué condiciones se exigirían para habilitar acciones de mayor riesgo.</w:t>
      </w:r>
    </w:p>
    <w:p>
      <w:pPr>
        <w:pStyle w:val="Heading2"/>
        <w:keepNext/>
        <w:spacing w:after="100" w:before="240"/>
      </w:pPr>
      <w:r>
        <w:rPr>
          <w:rFonts w:ascii="Arial" w:cs="Arial" w:eastAsia="Arial" w:hAnsi="Arial"/>
          <w:b/>
          <w:bCs/>
          <w:color w:val="2263A2"/>
          <w:sz w:val="23"/>
          <w:szCs w:val="23"/>
        </w:rPr>
        <w:t xml:space="preserve">11. Compradores de las tiendas (fuera del alcance actual)</w:t>
      </w:r>
    </w:p>
    <w:p>
      <w:pPr>
        <w:spacing w:after="100" w:line="276"/>
        <w:ind w:left="240"/>
      </w:pPr>
      <w:r>
        <w:rPr>
          <w:rFonts w:ascii="Arial" w:cs="Arial" w:eastAsia="Arial" w:hAnsi="Arial"/>
          <w:b/>
          <w:bCs/>
          <w:color w:val="1A2B4A"/>
          <w:sz w:val="21"/>
          <w:szCs w:val="21"/>
        </w:rPr>
        <w:t xml:space="preserve">Consulta. </w:t>
      </w:r>
      <w:r>
        <w:rPr>
          <w:rFonts w:ascii="Arial" w:cs="Arial" w:eastAsia="Arial" w:hAnsi="Arial"/>
          <w:sz w:val="21"/>
          <w:szCs w:val="21"/>
        </w:rPr>
        <w:t xml:space="preserve">Hoy ROSS guarda solo hashes irreversibles de email y teléfono de los compradores. ¿Se puede ofrecer algo más sin cambiar esa postura?</w:t>
      </w:r>
    </w:p>
    <w:p>
      <w:pPr>
        <w:spacing w:after="100" w:line="276"/>
        <w:ind w:left="240"/>
      </w:pPr>
      <w:r>
        <w:rPr>
          <w:rFonts w:ascii="Arial" w:cs="Arial" w:eastAsia="Arial" w:hAnsi="Arial"/>
          <w:b/>
          <w:bCs/>
          <w:color w:val="1A2B4A"/>
          <w:sz w:val="21"/>
          <w:szCs w:val="21"/>
        </w:rPr>
        <w:t xml:space="preserve">Solución propuesta. </w:t>
      </w:r>
      <w:r>
        <w:rPr>
          <w:rFonts w:ascii="Arial" w:cs="Arial" w:eastAsia="Arial" w:hAnsi="Arial"/>
          <w:sz w:val="21"/>
          <w:szCs w:val="21"/>
        </w:rPr>
        <w:t xml:space="preserve">No se incorporan compradores al CRM. Queda previsto, como etapa opcional posterior, que un contacto que la cuenta cargó muestre su historial de compras comparando el hash de su email con el de los compradores de las tiendas de esa misma cuenta, y solo dentro de la misma cuenta. No se capturan datos nuevos, pero revela qué contactos compraron. Sincronizar compradores en claro queda fuera y no se hará sin una revisión propia: finalidad, acceso y base legal.</w:t>
      </w:r>
    </w:p>
    <w:p>
      <w:pPr>
        <w:spacing w:after="100" w:line="276"/>
        <w:ind w:left="240"/>
      </w:pPr>
      <w:r>
        <w:rPr>
          <w:rFonts w:ascii="Arial" w:cs="Arial" w:eastAsia="Arial" w:hAnsi="Arial"/>
          <w:b/>
          <w:bCs/>
          <w:color w:val="1A2B4A"/>
          <w:sz w:val="21"/>
          <w:szCs w:val="21"/>
        </w:rPr>
        <w:t xml:space="preserve">Se pide. </w:t>
      </w:r>
      <w:r>
        <w:rPr>
          <w:rFonts w:ascii="Arial" w:cs="Arial" w:eastAsia="Arial" w:hAnsi="Arial"/>
          <w:sz w:val="21"/>
          <w:szCs w:val="21"/>
        </w:rPr>
        <w:t xml:space="preserve">Una opinión sobre el cruce por hash, que está previsto, y las condiciones previas de una eventual sincronización de compradores en claro.</w:t>
      </w:r>
    </w:p>
    <w:p>
      <w:pPr>
        <w:pStyle w:val="Heading2"/>
        <w:keepNext/>
        <w:spacing w:after="100" w:before="240"/>
      </w:pPr>
      <w:r>
        <w:rPr>
          <w:rFonts w:ascii="Arial" w:cs="Arial" w:eastAsia="Arial" w:hAnsi="Arial"/>
          <w:b/>
          <w:bCs/>
          <w:color w:val="2263A2"/>
          <w:sz w:val="23"/>
          <w:szCs w:val="23"/>
        </w:rPr>
        <w:t xml:space="preserve">12. Encargo de tratamiento: obligaciones al terminar el servicio</w:t>
      </w:r>
    </w:p>
    <w:p>
      <w:pPr>
        <w:spacing w:after="100" w:line="276"/>
        <w:ind w:left="240"/>
      </w:pPr>
      <w:r>
        <w:rPr>
          <w:rFonts w:ascii="Arial" w:cs="Arial" w:eastAsia="Arial" w:hAnsi="Arial"/>
          <w:b/>
          <w:bCs/>
          <w:color w:val="1A2B4A"/>
          <w:sz w:val="21"/>
          <w:szCs w:val="21"/>
        </w:rPr>
        <w:t xml:space="preserve">Consulta. </w:t>
      </w:r>
      <w:r>
        <w:rPr>
          <w:rFonts w:ascii="Arial" w:cs="Arial" w:eastAsia="Arial" w:hAnsi="Arial"/>
          <w:sz w:val="21"/>
          <w:szCs w:val="21"/>
        </w:rPr>
        <w:t xml:space="preserve">Según entendemos, la ley regula a quien presta servicios de tratamiento de datos por cuenta de terceros: no puede aplicar los datos a otro fin ni cederlos, y debe destruirlos al terminar el servicio, salvo autorización. ¿Ese régimen alcanza a ROSS frente a los contactos del CRM?</w:t>
      </w:r>
    </w:p>
    <w:p>
      <w:pPr>
        <w:spacing w:after="100" w:line="276"/>
        <w:ind w:left="240"/>
      </w:pPr>
      <w:r>
        <w:rPr>
          <w:rFonts w:ascii="Arial" w:cs="Arial" w:eastAsia="Arial" w:hAnsi="Arial"/>
          <w:b/>
          <w:bCs/>
          <w:color w:val="1A2B4A"/>
          <w:sz w:val="21"/>
          <w:szCs w:val="21"/>
        </w:rPr>
        <w:t xml:space="preserve">Solución propuesta. </w:t>
      </w:r>
      <w:r>
        <w:rPr>
          <w:rFonts w:ascii="Arial" w:cs="Arial" w:eastAsia="Arial" w:hAnsi="Arial"/>
          <w:sz w:val="21"/>
          <w:szCs w:val="21"/>
        </w:rPr>
        <w:t xml:space="preserve">La cláusula de encargo (punto 1) fija que ROSS solo trata los datos para prestar el servicio y no los cede. Al terminar el servicio, ya sea al eliminar la cuenta o a los 180 días de la baja del plan, los datos se destruyen. ROSS no conserva datos de una cuenta para futuros encargos sin una autorización expresa.</w:t>
      </w:r>
    </w:p>
    <w:p>
      <w:pPr>
        <w:spacing w:after="100" w:line="276"/>
        <w:ind w:left="240"/>
      </w:pPr>
      <w:r>
        <w:rPr>
          <w:rFonts w:ascii="Arial" w:cs="Arial" w:eastAsia="Arial" w:hAnsi="Arial"/>
          <w:b/>
          <w:bCs/>
          <w:color w:val="1A2B4A"/>
          <w:sz w:val="21"/>
          <w:szCs w:val="21"/>
        </w:rPr>
        <w:t xml:space="preserve">Se pide. </w:t>
      </w:r>
      <w:r>
        <w:rPr>
          <w:rFonts w:ascii="Arial" w:cs="Arial" w:eastAsia="Arial" w:hAnsi="Arial"/>
          <w:sz w:val="21"/>
          <w:szCs w:val="21"/>
        </w:rPr>
        <w:t xml:space="preserve">Confirmar qué régimen aplica, si esperar 180 días tras la baja del plan es compatible con la obligación de destruir al terminar el servicio, y qué debe decir el contrato.</w:t>
      </w:r>
    </w:p>
    <w:p>
      <w:pPr>
        <w:pStyle w:val="Heading2"/>
        <w:keepNext/>
        <w:spacing w:after="100" w:before="240"/>
      </w:pPr>
      <w:r>
        <w:rPr>
          <w:rFonts w:ascii="Arial" w:cs="Arial" w:eastAsia="Arial" w:hAnsi="Arial"/>
          <w:b/>
          <w:bCs/>
          <w:color w:val="2263A2"/>
          <w:sz w:val="23"/>
          <w:szCs w:val="23"/>
        </w:rPr>
        <w:t xml:space="preserve">13. Plazos legales de respuesta a los titulares</w:t>
      </w:r>
    </w:p>
    <w:p>
      <w:pPr>
        <w:spacing w:after="100" w:line="276"/>
        <w:ind w:left="240"/>
      </w:pPr>
      <w:r>
        <w:rPr>
          <w:rFonts w:ascii="Arial" w:cs="Arial" w:eastAsia="Arial" w:hAnsi="Arial"/>
          <w:b/>
          <w:bCs/>
          <w:color w:val="1A2B4A"/>
          <w:sz w:val="21"/>
          <w:szCs w:val="21"/>
        </w:rPr>
        <w:t xml:space="preserve">Consulta. </w:t>
      </w:r>
      <w:r>
        <w:rPr>
          <w:rFonts w:ascii="Arial" w:cs="Arial" w:eastAsia="Arial" w:hAnsi="Arial"/>
          <w:sz w:val="21"/>
          <w:szCs w:val="21"/>
        </w:rPr>
        <w:t xml:space="preserve">Según entendemos, la ley fija plazos cortos para informar a quien pide acceso a sus datos y para rectificarlos o suprimirlos. ¿Cuáles son y desde cuándo corren?</w:t>
      </w:r>
    </w:p>
    <w:p>
      <w:pPr>
        <w:spacing w:after="100" w:line="276"/>
        <w:ind w:left="240"/>
      </w:pPr>
      <w:r>
        <w:rPr>
          <w:rFonts w:ascii="Arial" w:cs="Arial" w:eastAsia="Arial" w:hAnsi="Arial"/>
          <w:b/>
          <w:bCs/>
          <w:color w:val="1A2B4A"/>
          <w:sz w:val="21"/>
          <w:szCs w:val="21"/>
        </w:rPr>
        <w:t xml:space="preserve">Solución propuesta. </w:t>
      </w:r>
      <w:r>
        <w:rPr>
          <w:rFonts w:ascii="Arial" w:cs="Arial" w:eastAsia="Arial" w:hAnsi="Arial"/>
          <w:sz w:val="21"/>
          <w:szCs w:val="21"/>
        </w:rPr>
        <w:t xml:space="preserve">ROSS ofrece las herramientas para exportar, corregir y borrar un contacto, y un registro de cada pedido con su fecha, para poder demostrar que se atendió a tiempo. La cuenta responde a sus titulares. Los plazos se configuran una vez definidos.</w:t>
      </w:r>
    </w:p>
    <w:p>
      <w:pPr>
        <w:spacing w:after="100" w:line="276"/>
        <w:ind w:left="240"/>
      </w:pPr>
      <w:r>
        <w:rPr>
          <w:rFonts w:ascii="Arial" w:cs="Arial" w:eastAsia="Arial" w:hAnsi="Arial"/>
          <w:b/>
          <w:bCs/>
          <w:color w:val="1A2B4A"/>
          <w:sz w:val="21"/>
          <w:szCs w:val="21"/>
        </w:rPr>
        <w:t xml:space="preserve">Se pide. </w:t>
      </w:r>
      <w:r>
        <w:rPr>
          <w:rFonts w:ascii="Arial" w:cs="Arial" w:eastAsia="Arial" w:hAnsi="Arial"/>
          <w:sz w:val="21"/>
          <w:szCs w:val="21"/>
        </w:rPr>
        <w:t xml:space="preserve">Indicar los plazos legales aplicables, cuándo empiezan a contar y quién debe cumplirlos: la cuenta, ROSS o ambos.</w:t>
      </w:r>
    </w:p>
    <w:p>
      <w:pPr>
        <w:pStyle w:val="Heading1"/>
        <w:keepNext/>
        <w:spacing w:after="140" w:before="320"/>
      </w:pPr>
      <w:r>
        <w:rPr>
          <w:rFonts w:ascii="Arial" w:cs="Arial" w:eastAsia="Arial" w:hAnsi="Arial"/>
          <w:b/>
          <w:bCs/>
          <w:color w:val="1A2B4A"/>
          <w:sz w:val="28"/>
          <w:szCs w:val="28"/>
        </w:rPr>
        <w:t xml:space="preserve">7. Qué no se hará sin una nueva revisión</w:t>
      </w:r>
    </w:p>
    <w:p>
      <w:pPr>
        <w:pStyle w:val="ListParagraph"/>
        <w:numPr>
          <w:ilvl w:val="0"/>
          <w:numId w:val="2"/>
        </w:numPr>
        <w:spacing w:after="80" w:line="276"/>
      </w:pPr>
      <w:r>
        <w:rPr>
          <w:rFonts w:ascii="Arial" w:cs="Arial" w:eastAsia="Arial" w:hAnsi="Arial"/>
          <w:sz w:val="21"/>
          <w:szCs w:val="21"/>
        </w:rPr>
        <w:t xml:space="preserve">Sincronizar los compradores de las tiendas en claro con el CRM.</w:t>
      </w:r>
    </w:p>
    <w:p>
      <w:pPr>
        <w:pStyle w:val="ListParagraph"/>
        <w:numPr>
          <w:ilvl w:val="0"/>
          <w:numId w:val="2"/>
        </w:numPr>
        <w:spacing w:after="80" w:line="276"/>
      </w:pPr>
      <w:r>
        <w:rPr>
          <w:rFonts w:ascii="Arial" w:cs="Arial" w:eastAsia="Arial" w:hAnsi="Arial"/>
          <w:sz w:val="21"/>
          <w:szCs w:val="21"/>
        </w:rPr>
        <w:t xml:space="preserve">Enviar correos o mensajes desde el CRM.</w:t>
      </w:r>
    </w:p>
    <w:p>
      <w:pPr>
        <w:pStyle w:val="ListParagraph"/>
        <w:numPr>
          <w:ilvl w:val="0"/>
          <w:numId w:val="2"/>
        </w:numPr>
        <w:spacing w:after="80" w:line="276"/>
      </w:pPr>
      <w:r>
        <w:rPr>
          <w:rFonts w:ascii="Arial" w:cs="Arial" w:eastAsia="Arial" w:hAnsi="Arial"/>
          <w:sz w:val="21"/>
          <w:szCs w:val="21"/>
        </w:rPr>
        <w:t xml:space="preserve">Puntuar contactos con modelos propios o tomar decisiones automatizadas sobre personas.</w:t>
      </w:r>
    </w:p>
    <w:p>
      <w:pPr>
        <w:pStyle w:val="ListParagraph"/>
        <w:numPr>
          <w:ilvl w:val="0"/>
          <w:numId w:val="2"/>
        </w:numPr>
        <w:spacing w:after="80" w:line="276"/>
      </w:pPr>
      <w:r>
        <w:rPr>
          <w:rFonts w:ascii="Arial" w:cs="Arial" w:eastAsia="Arial" w:hAnsi="Arial"/>
          <w:sz w:val="21"/>
          <w:szCs w:val="21"/>
        </w:rPr>
        <w:t xml:space="preserve">Enviar datos del CRM a un proveedor de inteligencia artificial de un tercero.</w:t>
      </w:r>
    </w:p>
    <w:p>
      <w:pPr>
        <w:pStyle w:val="Heading1"/>
        <w:keepNext/>
        <w:spacing w:after="140" w:before="320"/>
      </w:pPr>
      <w:r>
        <w:rPr>
          <w:rFonts w:ascii="Arial" w:cs="Arial" w:eastAsia="Arial" w:hAnsi="Arial"/>
          <w:b/>
          <w:bCs/>
          <w:color w:val="1A2B4A"/>
          <w:sz w:val="28"/>
          <w:szCs w:val="28"/>
        </w:rPr>
        <w:t xml:space="preserve">Hoja de resolución</w:t>
      </w:r>
    </w:p>
    <w:p>
      <w:pPr>
        <w:spacing w:after="120" w:line="276"/>
      </w:pPr>
      <w:r>
        <w:rPr>
          <w:rFonts w:ascii="Arial" w:cs="Arial" w:eastAsia="Arial" w:hAnsi="Arial"/>
          <w:sz w:val="21"/>
          <w:szCs w:val="21"/>
        </w:rPr>
        <w:t xml:space="preserve">Para completar por el área legal. Resolución sugerida: conforme, conforme con cambios (indicar) o no conforme (indicar alternativa).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900"/>
        <w:gridCol w:w="3838"/>
      </w:tblGrid>
      <w:tr>
        <w:trPr>
          <w:tblHeader/>
        </w:trPr>
        <w:tc>
          <w:tcPr>
            <w:tcW w:type="dxa" w:w="3900"/>
            <w:tcBorders>
              <w:top w:val="single" w:color="C9D3E3" w:sz="4"/>
              <w:left w:val="single" w:color="C9D3E3" w:sz="4"/>
              <w:bottom w:val="single" w:color="C9D3E3" w:sz="4"/>
              <w:right w:val="single" w:color="C9D3E3" w:sz="4"/>
            </w:tcBorders>
            <w:shd w:fill="EAF1F8" w:color="auto" w:val="clear"/>
            <w:tcMar>
              <w:top w:type="dxa" w:w="80"/>
              <w:left w:type="dxa" w:w="120"/>
              <w:bottom w:type="dxa" w:w="80"/>
              <w:right w:type="dxa" w:w="120"/>
            </w:tcMar>
          </w:tcPr>
          <w:p>
            <w:pPr>
              <w:spacing w:after="0" w:line="264"/>
            </w:pPr>
            <w:r>
              <w:rPr>
                <w:rFonts w:ascii="Arial" w:cs="Arial" w:eastAsia="Arial" w:hAnsi="Arial"/>
                <w:b/>
                <w:bCs/>
                <w:color w:val="1A2B4A"/>
                <w:sz w:val="19"/>
                <w:szCs w:val="19"/>
              </w:rPr>
              <w:t xml:space="preserve">Punto</w:t>
            </w:r>
          </w:p>
        </w:tc>
        <w:tc>
          <w:tcPr>
            <w:tcW w:type="dxa" w:w="1900"/>
            <w:tcBorders>
              <w:top w:val="single" w:color="C9D3E3" w:sz="4"/>
              <w:left w:val="single" w:color="C9D3E3" w:sz="4"/>
              <w:bottom w:val="single" w:color="C9D3E3" w:sz="4"/>
              <w:right w:val="single" w:color="C9D3E3" w:sz="4"/>
            </w:tcBorders>
            <w:shd w:fill="EAF1F8" w:color="auto" w:val="clear"/>
            <w:tcMar>
              <w:top w:type="dxa" w:w="80"/>
              <w:left w:type="dxa" w:w="120"/>
              <w:bottom w:type="dxa" w:w="80"/>
              <w:right w:type="dxa" w:w="120"/>
            </w:tcMar>
          </w:tcPr>
          <w:p>
            <w:pPr>
              <w:spacing w:after="0" w:line="264"/>
            </w:pPr>
            <w:r>
              <w:rPr>
                <w:rFonts w:ascii="Arial" w:cs="Arial" w:eastAsia="Arial" w:hAnsi="Arial"/>
                <w:b/>
                <w:bCs/>
                <w:color w:val="1A2B4A"/>
                <w:sz w:val="19"/>
                <w:szCs w:val="19"/>
              </w:rPr>
              <w:t xml:space="preserve">Resolución</w:t>
            </w:r>
          </w:p>
        </w:tc>
        <w:tc>
          <w:tcPr>
            <w:tcW w:type="dxa" w:w="3838"/>
            <w:tcBorders>
              <w:top w:val="single" w:color="C9D3E3" w:sz="4"/>
              <w:left w:val="single" w:color="C9D3E3" w:sz="4"/>
              <w:bottom w:val="single" w:color="C9D3E3" w:sz="4"/>
              <w:right w:val="single" w:color="C9D3E3" w:sz="4"/>
            </w:tcBorders>
            <w:shd w:fill="EAF1F8" w:color="auto" w:val="clear"/>
            <w:tcMar>
              <w:top w:type="dxa" w:w="80"/>
              <w:left w:type="dxa" w:w="120"/>
              <w:bottom w:type="dxa" w:w="80"/>
              <w:right w:type="dxa" w:w="120"/>
            </w:tcMar>
          </w:tcPr>
          <w:p>
            <w:pPr>
              <w:spacing w:after="0" w:line="264"/>
            </w:pPr>
            <w:r>
              <w:rPr>
                <w:rFonts w:ascii="Arial" w:cs="Arial" w:eastAsia="Arial" w:hAnsi="Arial"/>
                <w:b/>
                <w:bCs/>
                <w:color w:val="1A2B4A"/>
                <w:sz w:val="19"/>
                <w:szCs w:val="19"/>
              </w:rPr>
              <w:t xml:space="preserve">Comentarios y plazos</w:t>
            </w:r>
          </w:p>
        </w:tc>
      </w:tr>
      <w:tr>
        <w:trPr>
          <w:cantSplit/>
        </w:trPr>
        <w:tc>
          <w:tcPr>
            <w:tcW w:type="dxa" w:w="3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1. Roles y principio de tratamiento</w:t>
            </w:r>
          </w:p>
        </w:tc>
        <w:tc>
          <w:tcPr>
            <w:tcW w:type="dxa" w:w="1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c>
          <w:tcPr>
            <w:tcW w:type="dxa" w:w="38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r>
      <w:tr>
        <w:trPr>
          <w:cantSplit/>
        </w:trPr>
        <w:tc>
          <w:tcPr>
            <w:tcW w:type="dxa" w:w="3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2. Base legal y finalidad de los contactos</w:t>
            </w:r>
          </w:p>
        </w:tc>
        <w:tc>
          <w:tcPr>
            <w:tcW w:type="dxa" w:w="1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c>
          <w:tcPr>
            <w:tcW w:type="dxa" w:w="38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r>
      <w:tr>
        <w:trPr>
          <w:cantSplit/>
        </w:trPr>
        <w:tc>
          <w:tcPr>
            <w:tcW w:type="dxa" w:w="3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3. Registro de bases de datos</w:t>
            </w:r>
          </w:p>
        </w:tc>
        <w:tc>
          <w:tcPr>
            <w:tcW w:type="dxa" w:w="1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c>
          <w:tcPr>
            <w:tcW w:type="dxa" w:w="38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r>
      <w:tr>
        <w:trPr>
          <w:cantSplit/>
        </w:trPr>
        <w:tc>
          <w:tcPr>
            <w:tcW w:type="dxa" w:w="3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4. Alojamiento y transferencia internacional</w:t>
            </w:r>
          </w:p>
        </w:tc>
        <w:tc>
          <w:tcPr>
            <w:tcW w:type="dxa" w:w="1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c>
          <w:tcPr>
            <w:tcW w:type="dxa" w:w="38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r>
      <w:tr>
        <w:trPr>
          <w:cantSplit/>
        </w:trPr>
        <w:tc>
          <w:tcPr>
            <w:tcW w:type="dxa" w:w="3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5. Derechos de las personas (acceso, rectificación y supresión)</w:t>
            </w:r>
          </w:p>
        </w:tc>
        <w:tc>
          <w:tcPr>
            <w:tcW w:type="dxa" w:w="1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c>
          <w:tcPr>
            <w:tcW w:type="dxa" w:w="38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r>
      <w:tr>
        <w:trPr>
          <w:cantSplit/>
        </w:trPr>
        <w:tc>
          <w:tcPr>
            <w:tcW w:type="dxa" w:w="3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6. Retención, baja de plan y cierre de cuenta</w:t>
            </w:r>
          </w:p>
        </w:tc>
        <w:tc>
          <w:tcPr>
            <w:tcW w:type="dxa" w:w="1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c>
          <w:tcPr>
            <w:tcW w:type="dxa" w:w="38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r>
      <w:tr>
        <w:trPr>
          <w:cantSplit/>
        </w:trPr>
        <w:tc>
          <w:tcPr>
            <w:tcW w:type="dxa" w:w="3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7. Seguridad de los datos</w:t>
            </w:r>
          </w:p>
        </w:tc>
        <w:tc>
          <w:tcPr>
            <w:tcW w:type="dxa" w:w="1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c>
          <w:tcPr>
            <w:tcW w:type="dxa" w:w="38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r>
      <w:tr>
        <w:trPr>
          <w:cantSplit/>
        </w:trPr>
        <w:tc>
          <w:tcPr>
            <w:tcW w:type="dxa" w:w="3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8. Notas de texto libre y datos sensibles</w:t>
            </w:r>
          </w:p>
        </w:tc>
        <w:tc>
          <w:tcPr>
            <w:tcW w:type="dxa" w:w="1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c>
          <w:tcPr>
            <w:tcW w:type="dxa" w:w="38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r>
      <w:tr>
        <w:trPr>
          <w:cantSplit/>
        </w:trPr>
        <w:tc>
          <w:tcPr>
            <w:tcW w:type="dxa" w:w="3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9. Uso de las interacciones con el asistente para mejorar las respuestas</w:t>
            </w:r>
          </w:p>
        </w:tc>
        <w:tc>
          <w:tcPr>
            <w:tcW w:type="dxa" w:w="1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c>
          <w:tcPr>
            <w:tcW w:type="dxa" w:w="38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r>
      <w:tr>
        <w:trPr>
          <w:cantSplit/>
        </w:trPr>
        <w:tc>
          <w:tcPr>
            <w:tcW w:type="dxa" w:w="3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10. Acciones del asistente sobre el CRM</w:t>
            </w:r>
          </w:p>
        </w:tc>
        <w:tc>
          <w:tcPr>
            <w:tcW w:type="dxa" w:w="1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c>
          <w:tcPr>
            <w:tcW w:type="dxa" w:w="38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r>
      <w:tr>
        <w:trPr>
          <w:cantSplit/>
        </w:trPr>
        <w:tc>
          <w:tcPr>
            <w:tcW w:type="dxa" w:w="3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11. Compradores de las tiendas (fuera del alcance actual)</w:t>
            </w:r>
          </w:p>
        </w:tc>
        <w:tc>
          <w:tcPr>
            <w:tcW w:type="dxa" w:w="1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c>
          <w:tcPr>
            <w:tcW w:type="dxa" w:w="38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r>
      <w:tr>
        <w:trPr>
          <w:cantSplit/>
        </w:trPr>
        <w:tc>
          <w:tcPr>
            <w:tcW w:type="dxa" w:w="3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12. Encargo de tratamiento: obligaciones al terminar el servicio</w:t>
            </w:r>
          </w:p>
        </w:tc>
        <w:tc>
          <w:tcPr>
            <w:tcW w:type="dxa" w:w="1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c>
          <w:tcPr>
            <w:tcW w:type="dxa" w:w="38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r>
      <w:tr>
        <w:trPr>
          <w:cantSplit/>
        </w:trPr>
        <w:tc>
          <w:tcPr>
            <w:tcW w:type="dxa" w:w="3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13. Plazos legales de respuesta a los titulares</w:t>
            </w:r>
          </w:p>
        </w:tc>
        <w:tc>
          <w:tcPr>
            <w:tcW w:type="dxa" w:w="1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c>
          <w:tcPr>
            <w:tcW w:type="dxa" w:w="38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p>
        </w:tc>
      </w:tr>
    </w:tbl>
    <w:p>
      <w:pPr>
        <w:spacing w:after="120"/>
      </w:pPr>
    </w:p>
    <w:p>
      <w:pPr>
        <w:pStyle w:val="Heading1"/>
        <w:keepNext/>
        <w:spacing w:after="140" w:before="320"/>
      </w:pPr>
      <w:r>
        <w:rPr>
          <w:rFonts w:ascii="Arial" w:cs="Arial" w:eastAsia="Arial" w:hAnsi="Arial"/>
          <w:b/>
          <w:bCs/>
          <w:color w:val="1A2B4A"/>
          <w:sz w:val="28"/>
          <w:szCs w:val="28"/>
        </w:rPr>
        <w:t xml:space="preserve">Anexo A. Datos que guardaría el CRM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1300"/>
        <w:gridCol w:w="3238"/>
      </w:tblGrid>
      <w:tr>
        <w:trPr>
          <w:tblHeader/>
        </w:trPr>
        <w:tc>
          <w:tcPr>
            <w:tcW w:type="dxa" w:w="2300"/>
            <w:tcBorders>
              <w:top w:val="single" w:color="C9D3E3" w:sz="4"/>
              <w:left w:val="single" w:color="C9D3E3" w:sz="4"/>
              <w:bottom w:val="single" w:color="C9D3E3" w:sz="4"/>
              <w:right w:val="single" w:color="C9D3E3" w:sz="4"/>
            </w:tcBorders>
            <w:shd w:fill="EAF1F8" w:color="auto" w:val="clear"/>
            <w:tcMar>
              <w:top w:type="dxa" w:w="80"/>
              <w:left w:type="dxa" w:w="120"/>
              <w:bottom w:type="dxa" w:w="80"/>
              <w:right w:type="dxa" w:w="120"/>
            </w:tcMar>
          </w:tcPr>
          <w:p>
            <w:pPr>
              <w:spacing w:after="0" w:line="264"/>
            </w:pPr>
            <w:r>
              <w:rPr>
                <w:rFonts w:ascii="Arial" w:cs="Arial" w:eastAsia="Arial" w:hAnsi="Arial"/>
                <w:b/>
                <w:bCs/>
                <w:color w:val="1A2B4A"/>
                <w:sz w:val="19"/>
                <w:szCs w:val="19"/>
              </w:rPr>
              <w:t xml:space="preserve">Campo</w:t>
            </w:r>
          </w:p>
        </w:tc>
        <w:tc>
          <w:tcPr>
            <w:tcW w:type="dxa" w:w="2800"/>
            <w:tcBorders>
              <w:top w:val="single" w:color="C9D3E3" w:sz="4"/>
              <w:left w:val="single" w:color="C9D3E3" w:sz="4"/>
              <w:bottom w:val="single" w:color="C9D3E3" w:sz="4"/>
              <w:right w:val="single" w:color="C9D3E3" w:sz="4"/>
            </w:tcBorders>
            <w:shd w:fill="EAF1F8" w:color="auto" w:val="clear"/>
            <w:tcMar>
              <w:top w:type="dxa" w:w="80"/>
              <w:left w:type="dxa" w:w="120"/>
              <w:bottom w:type="dxa" w:w="80"/>
              <w:right w:type="dxa" w:w="120"/>
            </w:tcMar>
          </w:tcPr>
          <w:p>
            <w:pPr>
              <w:spacing w:after="0" w:line="264"/>
            </w:pPr>
            <w:r>
              <w:rPr>
                <w:rFonts w:ascii="Arial" w:cs="Arial" w:eastAsia="Arial" w:hAnsi="Arial"/>
                <w:b/>
                <w:bCs/>
                <w:color w:val="1A2B4A"/>
                <w:sz w:val="19"/>
                <w:szCs w:val="19"/>
              </w:rPr>
              <w:t xml:space="preserve">Ejemplo</w:t>
            </w:r>
          </w:p>
        </w:tc>
        <w:tc>
          <w:tcPr>
            <w:tcW w:type="dxa" w:w="1300"/>
            <w:tcBorders>
              <w:top w:val="single" w:color="C9D3E3" w:sz="4"/>
              <w:left w:val="single" w:color="C9D3E3" w:sz="4"/>
              <w:bottom w:val="single" w:color="C9D3E3" w:sz="4"/>
              <w:right w:val="single" w:color="C9D3E3" w:sz="4"/>
            </w:tcBorders>
            <w:shd w:fill="EAF1F8" w:color="auto" w:val="clear"/>
            <w:tcMar>
              <w:top w:type="dxa" w:w="80"/>
              <w:left w:type="dxa" w:w="120"/>
              <w:bottom w:type="dxa" w:w="80"/>
              <w:right w:type="dxa" w:w="120"/>
            </w:tcMar>
          </w:tcPr>
          <w:p>
            <w:pPr>
              <w:spacing w:after="0" w:line="264"/>
            </w:pPr>
            <w:r>
              <w:rPr>
                <w:rFonts w:ascii="Arial" w:cs="Arial" w:eastAsia="Arial" w:hAnsi="Arial"/>
                <w:b/>
                <w:bCs/>
                <w:color w:val="1A2B4A"/>
                <w:sz w:val="19"/>
                <w:szCs w:val="19"/>
              </w:rPr>
              <w:t xml:space="preserve">Obligatorio</w:t>
            </w:r>
          </w:p>
        </w:tc>
        <w:tc>
          <w:tcPr>
            <w:tcW w:type="dxa" w:w="3238"/>
            <w:tcBorders>
              <w:top w:val="single" w:color="C9D3E3" w:sz="4"/>
              <w:left w:val="single" w:color="C9D3E3" w:sz="4"/>
              <w:bottom w:val="single" w:color="C9D3E3" w:sz="4"/>
              <w:right w:val="single" w:color="C9D3E3" w:sz="4"/>
            </w:tcBorders>
            <w:shd w:fill="EAF1F8" w:color="auto" w:val="clear"/>
            <w:tcMar>
              <w:top w:type="dxa" w:w="80"/>
              <w:left w:type="dxa" w:w="120"/>
              <w:bottom w:type="dxa" w:w="80"/>
              <w:right w:type="dxa" w:w="120"/>
            </w:tcMar>
          </w:tcPr>
          <w:p>
            <w:pPr>
              <w:spacing w:after="0" w:line="264"/>
            </w:pPr>
            <w:r>
              <w:rPr>
                <w:rFonts w:ascii="Arial" w:cs="Arial" w:eastAsia="Arial" w:hAnsi="Arial"/>
                <w:b/>
                <w:bCs/>
                <w:color w:val="1A2B4A"/>
                <w:sz w:val="19"/>
                <w:szCs w:val="19"/>
              </w:rPr>
              <w:t xml:space="preserve">Tratamiento</w:t>
            </w:r>
          </w:p>
        </w:tc>
      </w:tr>
      <w:tr>
        <w:trPr>
          <w:cantSplit/>
        </w:trPr>
        <w:tc>
          <w:tcPr>
            <w:tcW w:type="dxa" w:w="2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Nombre</w:t>
            </w:r>
          </w:p>
        </w:tc>
        <w:tc>
          <w:tcPr>
            <w:tcW w:type="dxa" w:w="28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Marta Gómez</w:t>
            </w:r>
          </w:p>
        </w:tc>
        <w:tc>
          <w:tcPr>
            <w:tcW w:type="dxa" w:w="1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32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Cifrado por campo</w:t>
            </w:r>
          </w:p>
        </w:tc>
      </w:tr>
      <w:tr>
        <w:trPr>
          <w:cantSplit/>
        </w:trPr>
        <w:tc>
          <w:tcPr>
            <w:tcW w:type="dxa" w:w="2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Email</w:t>
            </w:r>
          </w:p>
        </w:tc>
        <w:tc>
          <w:tcPr>
            <w:tcW w:type="dxa" w:w="28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marta@empresa.com</w:t>
            </w:r>
          </w:p>
        </w:tc>
        <w:tc>
          <w:tcPr>
            <w:tcW w:type="dxa" w:w="1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c>
          <w:tcPr>
            <w:tcW w:type="dxa" w:w="32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Cifrado por campo, más un hash para búsqueda exacta</w:t>
            </w:r>
          </w:p>
        </w:tc>
      </w:tr>
      <w:tr>
        <w:trPr>
          <w:cantSplit/>
        </w:trPr>
        <w:tc>
          <w:tcPr>
            <w:tcW w:type="dxa" w:w="2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Teléfono</w:t>
            </w:r>
          </w:p>
        </w:tc>
        <w:tc>
          <w:tcPr>
            <w:tcW w:type="dxa" w:w="28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+54 11 5555 0000</w:t>
            </w:r>
          </w:p>
        </w:tc>
        <w:tc>
          <w:tcPr>
            <w:tcW w:type="dxa" w:w="1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c>
          <w:tcPr>
            <w:tcW w:type="dxa" w:w="32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Cifrado por campo, más un hash para búsqueda exacta</w:t>
            </w:r>
          </w:p>
        </w:tc>
      </w:tr>
      <w:tr>
        <w:trPr>
          <w:cantSplit/>
        </w:trPr>
        <w:tc>
          <w:tcPr>
            <w:tcW w:type="dxa" w:w="2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Empresa</w:t>
            </w:r>
          </w:p>
        </w:tc>
        <w:tc>
          <w:tcPr>
            <w:tcW w:type="dxa" w:w="28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Distribuidora Sur</w:t>
            </w:r>
          </w:p>
        </w:tc>
        <w:tc>
          <w:tcPr>
            <w:tcW w:type="dxa" w:w="1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c>
          <w:tcPr>
            <w:tcW w:type="dxa" w:w="32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Cifrado por campo</w:t>
            </w:r>
          </w:p>
        </w:tc>
      </w:tr>
      <w:tr>
        <w:trPr>
          <w:cantSplit/>
        </w:trPr>
        <w:tc>
          <w:tcPr>
            <w:tcW w:type="dxa" w:w="2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Origen</w:t>
            </w:r>
          </w:p>
        </w:tc>
        <w:tc>
          <w:tcPr>
            <w:tcW w:type="dxa" w:w="28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Importación CSV de mayoristas</w:t>
            </w:r>
          </w:p>
        </w:tc>
        <w:tc>
          <w:tcPr>
            <w:tcW w:type="dxa" w:w="1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32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En claro: no identifica a la persona y permite agrupar</w:t>
            </w:r>
          </w:p>
        </w:tc>
      </w:tr>
      <w:tr>
        <w:trPr>
          <w:cantSplit/>
        </w:trPr>
        <w:tc>
          <w:tcPr>
            <w:tcW w:type="dxa" w:w="2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Finalidad</w:t>
            </w:r>
          </w:p>
        </w:tc>
        <w:tc>
          <w:tcPr>
            <w:tcW w:type="dxa" w:w="28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Seguimiento comercial</w:t>
            </w:r>
          </w:p>
        </w:tc>
        <w:tc>
          <w:tcPr>
            <w:tcW w:type="dxa" w:w="1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Sí</w:t>
            </w:r>
          </w:p>
        </w:tc>
        <w:tc>
          <w:tcPr>
            <w:tcW w:type="dxa" w:w="32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En claro: no identifica a la persona y permite agrupar</w:t>
            </w:r>
          </w:p>
        </w:tc>
      </w:tr>
      <w:tr>
        <w:trPr>
          <w:cantSplit/>
        </w:trPr>
        <w:tc>
          <w:tcPr>
            <w:tcW w:type="dxa" w:w="2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Notas</w:t>
            </w:r>
          </w:p>
        </w:tc>
        <w:tc>
          <w:tcPr>
            <w:tcW w:type="dxa" w:w="28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Texto libre</w:t>
            </w:r>
          </w:p>
        </w:tc>
        <w:tc>
          <w:tcPr>
            <w:tcW w:type="dxa" w:w="1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c>
          <w:tcPr>
            <w:tcW w:type="dxa" w:w="32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Cifrado por campo. Límite de 2.000 caracteres y aviso. Ver el punto 8</w:t>
            </w:r>
          </w:p>
        </w:tc>
      </w:tr>
      <w:tr>
        <w:trPr>
          <w:cantSplit/>
        </w:trPr>
        <w:tc>
          <w:tcPr>
            <w:tcW w:type="dxa" w:w="2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bCs/>
                <w:sz w:val="19"/>
                <w:szCs w:val="19"/>
              </w:rPr>
              <w:t xml:space="preserve">Oportunidades, tareas y actividades</w:t>
            </w:r>
          </w:p>
        </w:tc>
        <w:tc>
          <w:tcPr>
            <w:tcW w:type="dxa" w:w="28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Llamar el jueves</w:t>
            </w:r>
          </w:p>
        </w:tc>
        <w:tc>
          <w:tcPr>
            <w:tcW w:type="dxa" w:w="1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No</w:t>
            </w:r>
          </w:p>
        </w:tc>
        <w:tc>
          <w:tcPr>
            <w:tcW w:type="dxa" w:w="3238"/>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line="264"/>
            </w:pPr>
            <w:r>
              <w:rPr>
                <w:rFonts w:ascii="Arial" w:cs="Arial" w:eastAsia="Arial" w:hAnsi="Arial"/>
                <w:b w:val="false"/>
                <w:bCs w:val="false"/>
                <w:sz w:val="19"/>
                <w:szCs w:val="19"/>
              </w:rPr>
              <w:t xml:space="preserve">Los textos libres, cifrados por campo. Asociadas al contacto y se borran con él</w:t>
            </w:r>
          </w:p>
        </w:tc>
      </w:tr>
    </w:tbl>
    <w:p>
      <w:pPr>
        <w:spacing w:after="120" w:line="276"/>
      </w:pPr>
      <w:r>
        <w:rPr>
          <w:rFonts w:ascii="Arial" w:cs="Arial" w:eastAsia="Arial" w:hAnsi="Arial"/>
          <w:sz w:val="21"/>
          <w:szCs w:val="21"/>
        </w:rPr>
        <w:t xml:space="preserve">La separación entre campos cifrados y en claro es una definición del equipo técnico y queda sujeta a su revisión.</w:t>
      </w:r>
    </w:p>
    <w:p>
      <w:pPr>
        <w:spacing w:after="120"/>
      </w:pPr>
    </w:p>
    <w:p>
      <w:pPr>
        <w:pStyle w:val="Heading1"/>
        <w:keepNext/>
        <w:spacing w:after="140" w:before="320"/>
      </w:pPr>
      <w:r>
        <w:rPr>
          <w:rFonts w:ascii="Arial" w:cs="Arial" w:eastAsia="Arial" w:hAnsi="Arial"/>
          <w:b/>
          <w:bCs/>
          <w:color w:val="1A2B4A"/>
          <w:sz w:val="28"/>
          <w:szCs w:val="28"/>
        </w:rPr>
        <w:t xml:space="preserve">Anexo B. Medidas técnicas existentes hoy</w:t>
      </w:r>
    </w:p>
    <w:p>
      <w:pPr>
        <w:pStyle w:val="ListParagraph"/>
        <w:numPr>
          <w:ilvl w:val="0"/>
          <w:numId w:val="2"/>
        </w:numPr>
        <w:spacing w:after="80" w:line="276"/>
      </w:pPr>
      <w:r>
        <w:rPr>
          <w:rFonts w:ascii="Arial" w:cs="Arial" w:eastAsia="Arial" w:hAnsi="Arial"/>
          <w:sz w:val="21"/>
          <w:szCs w:val="21"/>
        </w:rPr>
        <w:t xml:space="preserve">Cada cuenta solo accede a sus datos. Pedir una tienda de otra cuenta devuelve el mismo “no encontrada” que una tienda inexistente, y la regla se controla con pruebas automáticas sobre todas las rutas de la API.</w:t>
      </w:r>
    </w:p>
    <w:p>
      <w:pPr>
        <w:pStyle w:val="ListParagraph"/>
        <w:numPr>
          <w:ilvl w:val="0"/>
          <w:numId w:val="2"/>
        </w:numPr>
        <w:spacing w:after="80" w:line="276"/>
      </w:pPr>
      <w:r>
        <w:rPr>
          <w:rFonts w:ascii="Arial" w:cs="Arial" w:eastAsia="Arial" w:hAnsi="Arial"/>
          <w:sz w:val="21"/>
          <w:szCs w:val="21"/>
        </w:rPr>
        <w:t xml:space="preserve">Las herramientas del asistente tienen una batería de pruebas automáticas que verifica que una cuenta no ve datos de otra.</w:t>
      </w:r>
    </w:p>
    <w:p>
      <w:pPr>
        <w:pStyle w:val="ListParagraph"/>
        <w:numPr>
          <w:ilvl w:val="0"/>
          <w:numId w:val="2"/>
        </w:numPr>
        <w:spacing w:after="80" w:line="276"/>
      </w:pPr>
      <w:r>
        <w:rPr>
          <w:rFonts w:ascii="Arial" w:cs="Arial" w:eastAsia="Arial" w:hAnsi="Arial"/>
          <w:sz w:val="21"/>
          <w:szCs w:val="21"/>
        </w:rPr>
        <w:t xml:space="preserve">Las contraseñas se guardan con bcrypt. Los tokens de sesión, de invitación y de recuperación se guardan con hash.</w:t>
      </w:r>
    </w:p>
    <w:p>
      <w:pPr>
        <w:pStyle w:val="ListParagraph"/>
        <w:numPr>
          <w:ilvl w:val="0"/>
          <w:numId w:val="2"/>
        </w:numPr>
        <w:spacing w:after="80" w:line="276"/>
      </w:pPr>
      <w:r>
        <w:rPr>
          <w:rFonts w:ascii="Arial" w:cs="Arial" w:eastAsia="Arial" w:hAnsi="Arial"/>
          <w:sz w:val="21"/>
          <w:szCs w:val="21"/>
        </w:rPr>
        <w:t xml:space="preserve">Las credenciales de las plataformas conectadas se guardan cifradas.</w:t>
      </w:r>
    </w:p>
    <w:p>
      <w:pPr>
        <w:pStyle w:val="ListParagraph"/>
        <w:numPr>
          <w:ilvl w:val="0"/>
          <w:numId w:val="2"/>
        </w:numPr>
        <w:spacing w:after="80" w:line="276"/>
      </w:pPr>
      <w:r>
        <w:rPr>
          <w:rFonts w:ascii="Arial" w:cs="Arial" w:eastAsia="Arial" w:hAnsi="Arial"/>
          <w:sz w:val="21"/>
          <w:szCs w:val="21"/>
        </w:rPr>
        <w:t xml:space="preserve">Los enlaces de recuperación de contraseña y de invitación no se escriben en los registros de producción.</w:t>
      </w:r>
    </w:p>
    <w:p>
      <w:pPr>
        <w:pStyle w:val="ListParagraph"/>
        <w:numPr>
          <w:ilvl w:val="0"/>
          <w:numId w:val="2"/>
        </w:numPr>
        <w:spacing w:after="80" w:line="276"/>
      </w:pPr>
      <w:r>
        <w:rPr>
          <w:rFonts w:ascii="Arial" w:cs="Arial" w:eastAsia="Arial" w:hAnsi="Arial"/>
          <w:sz w:val="21"/>
          <w:szCs w:val="21"/>
        </w:rPr>
        <w:t xml:space="preserve">Hay limitación de frecuencia de solicitudes en las rutas sensibles.</w:t>
      </w:r>
    </w:p>
    <w:p>
      <w:pPr>
        <w:pStyle w:val="ListParagraph"/>
        <w:numPr>
          <w:ilvl w:val="0"/>
          <w:numId w:val="2"/>
        </w:numPr>
        <w:spacing w:after="80" w:line="276"/>
      </w:pPr>
      <w:r>
        <w:rPr>
          <w:rFonts w:ascii="Arial" w:cs="Arial" w:eastAsia="Arial" w:hAnsi="Arial"/>
          <w:sz w:val="21"/>
          <w:szCs w:val="21"/>
        </w:rPr>
        <w:t xml:space="preserve">El tráfico va por HTTPS, con certificados gestionados por el proveedor de alojamiento.</w:t>
      </w:r>
    </w:p>
    <w:p>
      <w:pPr>
        <w:pStyle w:val="ListParagraph"/>
        <w:numPr>
          <w:ilvl w:val="0"/>
          <w:numId w:val="2"/>
        </w:numPr>
        <w:spacing w:after="80" w:line="276"/>
      </w:pPr>
      <w:r>
        <w:rPr>
          <w:rFonts w:ascii="Arial" w:cs="Arial" w:eastAsia="Arial" w:hAnsi="Arial"/>
          <w:sz w:val="21"/>
          <w:szCs w:val="21"/>
        </w:rPr>
        <w:t xml:space="preserve">Existe un registro de quién consultó datos asociados a clientes.</w:t>
      </w:r>
    </w:p>
    <w:p>
      <w:pPr>
        <w:pStyle w:val="ListParagraph"/>
        <w:numPr>
          <w:ilvl w:val="0"/>
          <w:numId w:val="2"/>
        </w:numPr>
        <w:spacing w:after="80" w:line="276"/>
      </w:pPr>
      <w:r>
        <w:rPr>
          <w:rFonts w:ascii="Arial" w:cs="Arial" w:eastAsia="Arial" w:hAnsi="Arial"/>
          <w:sz w:val="21"/>
          <w:szCs w:val="21"/>
        </w:rPr>
        <w:t xml:space="preserve">Al eliminar una cuenta se eliminan en cascada sus tiendas y datos asociados.</w:t>
      </w:r>
    </w:p>
    <w:sectPr>
      <w:headerReference w:type="default" r:id="rId6"/>
      <w:footerReference w:type="default" r:id="rId7"/>
      <w:pgSz w:w="11906" w:h="16838" w:orient="portrait"/>
      <w:pgMar w:top="1247" w:right="1134" w:bottom="1247"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C6987"/>
        <w:sz w:val="17"/>
        <w:szCs w:val="17"/>
      </w:rPr>
      <w:t xml:space="preserve">Página </w:t>
    </w:r>
    <w:r>
      <w:rPr>
        <w:rFonts w:ascii="Arial" w:cs="Arial" w:eastAsia="Arial" w:hAnsi="Arial"/>
        <w:color w:val="5C6987"/>
        <w:sz w:val="17"/>
        <w:szCs w:val="17"/>
      </w:rPr>
      <w:fldChar w:fldCharType="begin"/>
      <w:instrText xml:space="preserve">PAGE</w:instrText>
      <w:fldChar w:fldCharType="separate"/>
      <w:fldChar w:fldCharType="end"/>
    </w:r>
    <w:r>
      <w:rPr>
        <w:rFonts w:ascii="Arial" w:cs="Arial" w:eastAsia="Arial" w:hAnsi="Arial"/>
        <w:color w:val="5C6987"/>
        <w:sz w:val="17"/>
        <w:szCs w:val="17"/>
      </w:rPr>
      <w:t xml:space="preserve"> de </w:t>
    </w:r>
    <w:r>
      <w:rPr>
        <w:rFonts w:ascii="Arial" w:cs="Arial" w:eastAsia="Arial" w:hAnsi="Arial"/>
        <w:color w:val="5C698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3" w:sz="4" w:space="4"/>
      </w:pBdr>
      <w:jc w:val="right"/>
    </w:pPr>
    <w:r>
      <w:rPr>
        <w:rFonts w:ascii="Arial" w:cs="Arial" w:eastAsia="Arial" w:hAnsi="Arial"/>
        <w:color w:val="5C6987"/>
        <w:sz w:val="17"/>
        <w:szCs w:val="17"/>
      </w:rPr>
      <w:t xml:space="preserve">ROSS · Consulta sobre datos personales del módulo CRM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2B4A"/>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263A2"/>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CRM de ROSS: consulta sobre el tratamiento de datos personales</dc:title>
  <dc:creator>ROSS</dc:creator>
  <cp:lastModifiedBy>Un-named</cp:lastModifiedBy>
  <cp:revision>1</cp:revision>
  <dcterms:created xsi:type="dcterms:W3CDTF">2026-10-15T20:01:37.807Z</dcterms:created>
  <dcterms:modified xsi:type="dcterms:W3CDTF">2026-10-15T20:01:37.808Z</dcterms:modified>
</cp:coreProperties>
</file>

<file path=docProps/custom.xml><?xml version="1.0" encoding="utf-8"?>
<Properties xmlns="http://schemas.openxmlformats.org/officeDocument/2006/custom-properties" xmlns:vt="http://schemas.openxmlformats.org/officeDocument/2006/docPropsVTypes"/>
</file>