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62dbef52d7102184804b6660f96ecd5d290d99"/>
    <w:p>
      <w:pPr>
        <w:pStyle w:val="Heading1"/>
      </w:pPr>
      <w:r>
        <w:t xml:space="preserve">City Grill Group: public data research summary (Phase 1)</w:t>
      </w:r>
    </w:p>
    <w:p>
      <w:pPr>
        <w:pStyle w:val="FirstParagraph"/>
      </w:pPr>
      <w:r>
        <w:t xml:space="preserve">Data accessed 13 October 2026. Companion to</w:t>
      </w:r>
      <w:r>
        <w:t xml:space="preserve"> </w:t>
      </w:r>
      <w:r>
        <w:rPr>
          <w:rStyle w:val="VerbatimChar"/>
        </w:rPr>
        <w:t xml:space="preserve">CityGrill_Group_Dataset.xlsx</w:t>
      </w:r>
      <w:r>
        <w:t xml:space="preserve"> </w:t>
      </w:r>
      <w:r>
        <w:t xml:space="preserve">and the CSV exports.</w:t>
      </w:r>
    </w:p>
    <w:bookmarkStart w:id="20" w:name="main-findings"/>
    <w:p>
      <w:pPr>
        <w:pStyle w:val="Heading2"/>
      </w:pPr>
      <w:r>
        <w:t xml:space="preserve">1. Main findings</w:t>
      </w:r>
    </w:p>
    <w:p>
      <w:pPr>
        <w:numPr>
          <w:ilvl w:val="0"/>
          <w:numId w:val="1001"/>
        </w:numPr>
        <w:pStyle w:val="Compact"/>
      </w:pPr>
      <w:r>
        <w:rPr>
          <w:bCs/>
          <w:b/>
        </w:rPr>
        <w:t xml:space="preserve">Revenue path (company-reported):</w:t>
      </w:r>
      <w:r>
        <w:t xml:space="preserve"> </w:t>
      </w:r>
      <w:r>
        <w:t xml:space="preserve">RON 187M in 2019 (+13%), RON 280M in 2023, RON 339M in 2024 (+21.1%), and EUR 90M consolidated in 2025. The RON 2019–2024 CAGR is 12.6%.</w:t>
      </w:r>
    </w:p>
    <w:p>
      <w:pPr>
        <w:numPr>
          <w:ilvl w:val="0"/>
          <w:numId w:val="1001"/>
        </w:numPr>
        <w:pStyle w:val="Compact"/>
      </w:pPr>
      <w:r>
        <w:rPr>
          <w:bCs/>
          <w:b/>
        </w:rPr>
        <w:t xml:space="preserve">2025 needs two readings.</w:t>
      </w:r>
      <w:r>
        <w:t xml:space="preserve"> </w:t>
      </w:r>
      <w:r>
        <w:t xml:space="preserve">Consolidated revenue of EUR 90M is +32.4% on 2024’s EUR 68M, but it includes Marty Restaurants and Aubergine. Existing brands delivered EUR 75M, +10.3% (the company says +10%). About 22 percentage points of the headline growth come from the wider scope. Consolidated growth is not organic.</w:t>
      </w:r>
    </w:p>
    <w:p>
      <w:pPr>
        <w:numPr>
          <w:ilvl w:val="0"/>
          <w:numId w:val="1001"/>
        </w:numPr>
        <w:pStyle w:val="Compact"/>
      </w:pPr>
      <w:r>
        <w:rPr>
          <w:bCs/>
          <w:b/>
        </w:rPr>
        <w:t xml:space="preserve">2026 target:</w:t>
      </w:r>
      <w:r>
        <w:t xml:space="preserve"> </w:t>
      </w:r>
      <w:r>
        <w:t xml:space="preserve">EUR 100M (RON 500M+). That needs +11.1% on the 2025 consolidated base, in line with management’s 10–12% objective. Reported H1 2026 growth was only +2% (scope not stated), about 9 pp below the required pace. The absolute H1 figure is not public, so no full-year conclusion follows.</w:t>
      </w:r>
    </w:p>
    <w:p>
      <w:pPr>
        <w:numPr>
          <w:ilvl w:val="0"/>
          <w:numId w:val="1001"/>
        </w:numPr>
        <w:pStyle w:val="Compact"/>
      </w:pPr>
      <w:r>
        <w:rPr>
          <w:bCs/>
          <w:b/>
        </w:rPr>
        <w:t xml:space="preserve">Versus the industry (2025):</w:t>
      </w:r>
      <w:r>
        <w:t xml:space="preserve"> </w:t>
      </w:r>
      <w:r>
        <w:t xml:space="preserve">existing-brand growth of +10.3% against +7% for restaurants and bars (HORA, filed accounts) is about +3.3 pp. Against total HoReCa (+12%) it is -1.7 pp. After CPI (7.3%) the company grew about 2.8% in real terms, against an INS volume index of 98.1 (-1.9%).</w:t>
      </w:r>
    </w:p>
    <w:p>
      <w:pPr>
        <w:numPr>
          <w:ilvl w:val="0"/>
          <w:numId w:val="1001"/>
        </w:numPr>
        <w:pStyle w:val="Compact"/>
      </w:pPr>
      <w:r>
        <w:rPr>
          <w:bCs/>
          <w:b/>
        </w:rPr>
        <w:t xml:space="preserve">Industry context 2026:</w:t>
      </w:r>
      <w:r>
        <w:t xml:space="preserve"> </w:t>
      </w:r>
      <w:r>
        <w:t xml:space="preserve">INS hotels-and-restaurants volume of turnover fell 12.0% year on year in H1 2026, while CPI ran at 9.9% in March 2026 and restaurant prices rose 11.6%. This is a weak demand and high cost environment.</w:t>
      </w:r>
    </w:p>
    <w:p>
      <w:pPr>
        <w:numPr>
          <w:ilvl w:val="0"/>
          <w:numId w:val="1001"/>
        </w:numPr>
        <w:pStyle w:val="Compact"/>
      </w:pPr>
      <w:r>
        <w:rPr>
          <w:bCs/>
          <w:b/>
        </w:rPr>
        <w:t xml:space="preserve">Commercial indicators:</w:t>
      </w:r>
      <w:r>
        <w:t xml:space="preserve"> </w:t>
      </w:r>
      <w:r>
        <w:t xml:space="preserve">average bill RON 290 (2025); Out4Food loyalty platform with 380,000 users, about 28% of group turnover, and an average bill about 20% above other customers; 44 locations (Oct 2026), about 1,100 employees; investment of EUR 3M in 2025 and a EUR 6.5M budget for 2026.</w:t>
      </w:r>
    </w:p>
    <w:bookmarkEnd w:id="20"/>
    <w:bookmarkStart w:id="21" w:name="data-availability"/>
    <w:p>
      <w:pPr>
        <w:pStyle w:val="Heading2"/>
      </w:pPr>
      <w:r>
        <w:t xml:space="preserve">2. Data availability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Availability</w:t>
            </w:r>
          </w:p>
        </w:tc>
      </w:tr>
      <w:tr>
        <w:tc>
          <w:tcPr/>
          <w:p>
            <w:pPr>
              <w:pStyle w:val="Compact"/>
              <w:jc w:val="left"/>
            </w:pPr>
            <w:r>
              <w:t xml:space="preserve">Group revenue</w:t>
            </w:r>
          </w:p>
        </w:tc>
        <w:tc>
          <w:tcPr/>
          <w:p>
            <w:pPr>
              <w:pStyle w:val="Compact"/>
              <w:jc w:val="left"/>
            </w:pPr>
            <w:r>
              <w:t xml:space="preserve">Good 2019, 2023–2025; EUR-only interview figures for 2020–2022 (grade C)</w:t>
            </w:r>
          </w:p>
        </w:tc>
      </w:tr>
      <w:tr>
        <w:tc>
          <w:tcPr/>
          <w:p>
            <w:pPr>
              <w:pStyle w:val="Compact"/>
              <w:jc w:val="left"/>
            </w:pPr>
            <w:r>
              <w:t xml:space="preserve">Operating profit, net profit, EBITDA</w:t>
            </w:r>
          </w:p>
        </w:tc>
        <w:tc>
          <w:tcPr/>
          <w:p>
            <w:pPr>
              <w:pStyle w:val="Compact"/>
              <w:jc w:val="left"/>
            </w:pPr>
            <w:r>
              <w:rPr>
                <w:bCs/>
                <w:b/>
              </w:rPr>
              <w:t xml:space="preserve">Not public</w:t>
            </w:r>
            <w:r>
              <w:t xml:space="preserve"> </w:t>
            </w:r>
            <w:r>
              <w:t xml:space="preserve">at group level</w:t>
            </w:r>
          </w:p>
        </w:tc>
      </w:tr>
      <w:tr>
        <w:tc>
          <w:tcPr/>
          <w:p>
            <w:pPr>
              <w:pStyle w:val="Compact"/>
              <w:jc w:val="left"/>
            </w:pPr>
            <w:r>
              <w:t xml:space="preserve">Locations</w:t>
            </w:r>
          </w:p>
        </w:tc>
        <w:tc>
          <w:tcPr/>
          <w:p>
            <w:pPr>
              <w:pStyle w:val="Compact"/>
              <w:jc w:val="left"/>
            </w:pPr>
            <w:r>
              <w:t xml:space="preserve">Snapshots (2019, 2024, 2026), not a yearly series</w:t>
            </w:r>
          </w:p>
        </w:tc>
      </w:tr>
      <w:tr>
        <w:tc>
          <w:tcPr/>
          <w:p>
            <w:pPr>
              <w:pStyle w:val="Compact"/>
              <w:jc w:val="left"/>
            </w:pPr>
            <w:r>
              <w:t xml:space="preserve">Investment</w:t>
            </w:r>
          </w:p>
        </w:tc>
        <w:tc>
          <w:tcPr/>
          <w:p>
            <w:pPr>
              <w:pStyle w:val="Compact"/>
              <w:jc w:val="left"/>
            </w:pPr>
            <w:r>
              <w:t xml:space="preserve">Several years, mixing budgets and spend (kept separate)</w:t>
            </w:r>
          </w:p>
        </w:tc>
      </w:tr>
      <w:tr>
        <w:tc>
          <w:tcPr/>
          <w:p>
            <w:pPr>
              <w:pStyle w:val="Compact"/>
              <w:jc w:val="left"/>
            </w:pPr>
            <w:r>
              <w:t xml:space="preserve">Average bill, loyalty</w:t>
            </w:r>
          </w:p>
        </w:tc>
        <w:tc>
          <w:tcPr/>
          <w:p>
            <w:pPr>
              <w:pStyle w:val="Compact"/>
              <w:jc w:val="left"/>
            </w:pPr>
            <w:r>
              <w:t xml:space="preserve">Single periods only</w:t>
            </w:r>
          </w:p>
        </w:tc>
      </w:tr>
      <w:tr>
        <w:tc>
          <w:tcPr/>
          <w:p>
            <w:pPr>
              <w:pStyle w:val="Compact"/>
              <w:jc w:val="left"/>
            </w:pPr>
            <w:r>
              <w:t xml:space="preserve">Industry turnover</w:t>
            </w:r>
          </w:p>
        </w:tc>
        <w:tc>
          <w:tcPr/>
          <w:p>
            <w:pPr>
              <w:pStyle w:val="Compact"/>
              <w:jc w:val="left"/>
            </w:pPr>
            <w:r>
              <w:t xml:space="preserve">HORA filed-account analysis for 2024–2025; no official CAEN 5610 series obtained</w:t>
            </w:r>
          </w:p>
        </w:tc>
      </w:tr>
      <w:tr>
        <w:tc>
          <w:tcPr/>
          <w:p>
            <w:pPr>
              <w:pStyle w:val="Compact"/>
              <w:jc w:val="left"/>
            </w:pPr>
            <w:r>
              <w:t xml:space="preserve">Macro</w:t>
            </w:r>
          </w:p>
        </w:tc>
        <w:tc>
          <w:tcPr/>
          <w:p>
            <w:pPr>
              <w:pStyle w:val="Compact"/>
              <w:jc w:val="left"/>
            </w:pPr>
            <w:r>
              <w:t xml:space="preserve">CPI, restaurant CPI, BNR FX 2019–2025, INS volume indices; no household consumption or disposable income series</w:t>
            </w:r>
          </w:p>
        </w:tc>
      </w:tr>
    </w:tbl>
    <w:bookmarkEnd w:id="21"/>
    <w:bookmarkStart w:id="22" w:name="Xd43acf453adb2d0a838cfacfeeb97d0001fc483"/>
    <w:p>
      <w:pPr>
        <w:pStyle w:val="Heading2"/>
      </w:pPr>
      <w:r>
        <w:t xml:space="preserve">3. Discrepancies (full log in Data_Quality_Checks)</w:t>
      </w:r>
    </w:p>
    <w:p>
      <w:pPr>
        <w:numPr>
          <w:ilvl w:val="0"/>
          <w:numId w:val="1002"/>
        </w:numPr>
        <w:pStyle w:val="Compact"/>
      </w:pPr>
      <w:r>
        <w:t xml:space="preserve">FY2018 revenue: EUR 37.7M vs RON 165M imply an unrealistic 4.38 RON/EUR. The RON series is used.</w:t>
      </w:r>
    </w:p>
    <w:p>
      <w:pPr>
        <w:numPr>
          <w:ilvl w:val="0"/>
          <w:numId w:val="1002"/>
        </w:numPr>
        <w:pStyle w:val="Compact"/>
      </w:pPr>
      <w:r>
        <w:t xml:space="preserve">FY2023/2024 EUR figures: third-party conversions (EUR 54.92M, EUR 66.49M) used wrong-period FX and are grade D. The company’s RON 280M/339M and EUR 56.5M/68M reconcile to BNR averages within 0.01 RON/EUR.</w:t>
      </w:r>
    </w:p>
    <w:p>
      <w:pPr>
        <w:numPr>
          <w:ilvl w:val="0"/>
          <w:numId w:val="1002"/>
        </w:numPr>
        <w:pStyle w:val="Compact"/>
      </w:pPr>
      <w:r>
        <w:t xml:space="preserve">A ZF ranking shows net profit RON 49M for</w:t>
      </w:r>
      <w:r>
        <w:t xml:space="preserve"> </w:t>
      </w:r>
      <w:r>
        <w:t xml:space="preserve">“</w:t>
      </w:r>
      <w:r>
        <w:t xml:space="preserve">Grupul City Grill</w:t>
      </w:r>
      <w:r>
        <w:t xml:space="preserve">”</w:t>
      </w:r>
      <w:r>
        <w:t xml:space="preserve"> </w:t>
      </w:r>
      <w:r>
        <w:t xml:space="preserve">in 2023. The entity is not identified, so it is a Proxy and is not used.</w:t>
      </w:r>
    </w:p>
    <w:p>
      <w:pPr>
        <w:numPr>
          <w:ilvl w:val="0"/>
          <w:numId w:val="1002"/>
        </w:numPr>
        <w:pStyle w:val="Compact"/>
      </w:pPr>
      <w:r>
        <w:t xml:space="preserve">Industry sizes from IMM Club and similar are not comparable with HORA and cannot be chained.</w:t>
      </w:r>
    </w:p>
    <w:p>
      <w:pPr>
        <w:numPr>
          <w:ilvl w:val="0"/>
          <w:numId w:val="1002"/>
        </w:numPr>
        <w:pStyle w:val="Compact"/>
      </w:pPr>
      <w:r>
        <w:t xml:space="preserve">Location counts differ by date and definition (24 restaurants in 2024; about 40 in mid-2026; 44 in Oct 2026).</w:t>
      </w:r>
    </w:p>
    <w:bookmarkEnd w:id="22"/>
    <w:bookmarkStart w:id="23" w:name="comparability-limits"/>
    <w:p>
      <w:pPr>
        <w:pStyle w:val="Heading2"/>
      </w:pPr>
      <w:r>
        <w:t xml:space="preserve">4. Comparability limits</w:t>
      </w:r>
    </w:p>
    <w:p>
      <w:pPr>
        <w:numPr>
          <w:ilvl w:val="0"/>
          <w:numId w:val="1003"/>
        </w:numPr>
        <w:pStyle w:val="Compact"/>
      </w:pPr>
      <w:r>
        <w:rPr>
          <w:bCs/>
          <w:b/>
        </w:rPr>
        <w:t xml:space="preserve">CAEN:</w:t>
      </w:r>
      <w:r>
        <w:t xml:space="preserve"> </w:t>
      </w:r>
      <w:r>
        <w:t xml:space="preserve">5610 (restaurants and mobile food service) and 5630 (beverage serving) together make up NACE I56. City Grill also runs hotels (5510), events (5621), catering and ready meals, so no single class represents the group. HORA’s restaurants-and-bars analysis is the closest benchmark, not an exact one.</w:t>
      </w:r>
    </w:p>
    <w:p>
      <w:pPr>
        <w:numPr>
          <w:ilvl w:val="0"/>
          <w:numId w:val="1003"/>
        </w:numPr>
        <w:pStyle w:val="Compact"/>
      </w:pPr>
      <w:r>
        <w:rPr>
          <w:bCs/>
          <w:b/>
        </w:rPr>
        <w:t xml:space="preserve">Financial scope:</w:t>
      </w:r>
      <w:r>
        <w:t xml:space="preserve"> </w:t>
      </w:r>
      <w:r>
        <w:t xml:space="preserve">the 10-month 2025 figure (EUR 63.5M) is 85% of existing-brand full-year revenue, which suggests it is on that scope (K18). The company does not say so.</w:t>
      </w:r>
    </w:p>
    <w:p>
      <w:pPr>
        <w:numPr>
          <w:ilvl w:val="0"/>
          <w:numId w:val="1003"/>
        </w:numPr>
        <w:pStyle w:val="Compact"/>
      </w:pPr>
      <w:r>
        <w:rPr>
          <w:bCs/>
          <w:b/>
        </w:rPr>
        <w:t xml:space="preserve">Marty:</w:t>
      </w:r>
      <w:r>
        <w:t xml:space="preserve"> </w:t>
      </w:r>
      <w:r>
        <w:t xml:space="preserve">the majority stake was announced in October 2024. The company treats 2025 as the first year of consolidated revenue, but the 2024 base may include part of the Q4 effect. This is not disclosed.</w:t>
      </w:r>
    </w:p>
    <w:p>
      <w:pPr>
        <w:numPr>
          <w:ilvl w:val="0"/>
          <w:numId w:val="1003"/>
        </w:numPr>
        <w:pStyle w:val="Compact"/>
      </w:pPr>
      <w:r>
        <w:rPr>
          <w:bCs/>
          <w:b/>
        </w:rPr>
        <w:t xml:space="preserve">Share proxies</w:t>
      </w:r>
      <w:r>
        <w:t xml:space="preserve"> </w:t>
      </w:r>
      <w:r>
        <w:t xml:space="preserve">(about 1.2% of restaurant-and-bar turnover in 2025) are indicative only.</w:t>
      </w:r>
    </w:p>
    <w:bookmarkEnd w:id="23"/>
    <w:bookmarkStart w:id="24" w:name="source-limits"/>
    <w:p>
      <w:pPr>
        <w:pStyle w:val="Heading2"/>
      </w:pPr>
      <w:r>
        <w:t xml:space="preserve">5. Source limits</w:t>
      </w:r>
    </w:p>
    <w:p>
      <w:pPr>
        <w:pStyle w:val="FirstParagraph"/>
      </w:pPr>
      <w:r>
        <w:t xml:space="preserve">Ministry of Finance filings, INS TEMPO and Eurostat could not be queried directly here. Company figures come from company releases reproduced by Bursa.ro, ZF, Profit.ro and News.ro (Tier 2). INS and HORA figures come through media relays. Nothing was invented; 6 observations are marked Unavailable.</w:t>
      </w:r>
    </w:p>
    <w:bookmarkEnd w:id="24"/>
    <w:bookmarkStart w:id="25" w:name="recommendation"/>
    <w:p>
      <w:pPr>
        <w:pStyle w:val="Heading2"/>
      </w:pPr>
      <w:r>
        <w:t xml:space="preserve">6. Recommendation</w:t>
      </w:r>
    </w:p>
    <w:p>
      <w:pPr>
        <w:numPr>
          <w:ilvl w:val="0"/>
          <w:numId w:val="1004"/>
        </w:numPr>
        <w:pStyle w:val="Compact"/>
      </w:pPr>
      <w:r>
        <w:rPr>
          <w:bCs/>
          <w:b/>
        </w:rPr>
        <w:t xml:space="preserve">Strongest verified KPIs:</w:t>
      </w:r>
      <w:r>
        <w:t xml:space="preserve"> </w:t>
      </w:r>
      <w:r>
        <w:t xml:space="preserve">RON revenue growth 2019 and 2024 (K01, K02); existing-brand growth 2025 (K03); the acquisition effect (K05, K06); the target gap and required growth (K13, K14); RON CAGR 2019–2024 (K07).</w:t>
      </w:r>
    </w:p>
    <w:p>
      <w:pPr>
        <w:numPr>
          <w:ilvl w:val="0"/>
          <w:numId w:val="1004"/>
        </w:numPr>
        <w:pStyle w:val="Compact"/>
      </w:pPr>
      <w:r>
        <w:rPr>
          <w:bCs/>
          <w:b/>
        </w:rPr>
        <w:t xml:space="preserve">Best benchmarks:</w:t>
      </w:r>
      <w:r>
        <w:t xml:space="preserve"> </w:t>
      </w:r>
      <w:r>
        <w:t xml:space="preserve">HORA restaurants-and-bars growth (+7% in 2025), the INS volume index for hotels and restaurants, CPI and restaurant CPI.</w:t>
      </w:r>
    </w:p>
    <w:p>
      <w:pPr>
        <w:numPr>
          <w:ilvl w:val="0"/>
          <w:numId w:val="1004"/>
        </w:numPr>
        <w:pStyle w:val="Compact"/>
      </w:pPr>
      <w:r>
        <w:rPr>
          <w:bCs/>
          <w:b/>
        </w:rPr>
        <w:t xml:space="preserve">Reliable comparisons:</w:t>
      </w:r>
      <w:r>
        <w:t xml:space="preserve"> </w:t>
      </w:r>
      <w:r>
        <w:t xml:space="preserve">RON 2019, 2023 and 2024; EUR 2024–2025 on the existing-brand scope. Avoid 2020–2022 as precise annual figures; they are rounded interview numbers.</w:t>
      </w:r>
    </w:p>
    <w:p>
      <w:pPr>
        <w:numPr>
          <w:ilvl w:val="0"/>
          <w:numId w:val="1004"/>
        </w:numPr>
        <w:pStyle w:val="Compact"/>
      </w:pPr>
      <w:r>
        <w:rPr>
          <w:bCs/>
          <w:b/>
        </w:rPr>
        <w:t xml:space="preserve">Dashboard KPIs:</w:t>
      </w:r>
      <w:r>
        <w:t xml:space="preserve"> </w:t>
      </w:r>
      <w:r>
        <w:t xml:space="preserve">revenue level and growth (consolidated and existing-brand shown side by side); progress to the EUR 100M target; growth versus restaurants and bars; real growth versus INS volume; investment spend versus budget; locations; average bill; Out4Food share.</w:t>
      </w:r>
    </w:p>
    <w:p>
      <w:pPr>
        <w:numPr>
          <w:ilvl w:val="0"/>
          <w:numId w:val="1004"/>
        </w:numPr>
        <w:pStyle w:val="Compact"/>
      </w:pPr>
      <w:r>
        <w:rPr>
          <w:bCs/>
          <w:b/>
        </w:rPr>
        <w:t xml:space="preserve">Cannot be established from public data:</w:t>
      </w:r>
      <w:r>
        <w:t xml:space="preserve"> </w:t>
      </w:r>
      <w:r>
        <w:t xml:space="preserve">profitability (EBITDA, operating or net margin), true like-for-like growth, official market share, customer traffic, per-location productivity, H2 2026 outlook.</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2026-10-13T12:48:02Z</dcterms:created>
  <dcterms:modified xsi:type="dcterms:W3CDTF">2026-10-13T12:48:02Z</dcterms:modified>
</cp:coreProperties>
</file>

<file path=docProps/custom.xml><?xml version="1.0" encoding="utf-8"?>
<Properties xmlns="http://schemas.openxmlformats.org/officeDocument/2006/custom-properties" xmlns:vt="http://schemas.openxmlformats.org/officeDocument/2006/docPropsVTypes"/>
</file>