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564"/>
          <w:sz w:val="44"/>
        </w:rPr>
        <w:t>E10 — Attention-Based Fusion</w:t>
      </w:r>
    </w:p>
    <w:p>
      <w:pPr>
        <w:spacing w:after="120"/>
      </w:pPr>
      <w:r>
        <w:t>Member: Bayo  ·  Date: May 2026  ·  Project: Compression-Aware Multiscale Feature Fusion for Waste Object Detection and Classification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2E75B6"/>
          <w:sz w:val="30"/>
        </w:rPr>
        <w:t>1. Overview</w:t>
      </w:r>
    </w:p>
    <w:p>
      <w:pPr>
        <w:spacing w:after="120"/>
      </w:pPr>
      <w:r>
        <w:t>Experiment E10 is the most sophisticated of Bayo's four experiments. Instead of assigning static weights to entire probability distributions, a PyTorch neural network learns to dynamically gate the contribution of each modality on a per-sample basis. Two separate embedding branches project classical (252-dim) and deep (1,280-dim) features into a shared 128-dimensional space. A softmax attention mechanism then assigns a scalar weight to each branch, producing a weighted combination of the two embeddings as the fused representation for classification.</w:t>
      </w:r>
    </w:p>
    <w:p>
      <w:pPr>
        <w:pStyle w:val="Heading2"/>
      </w:pPr>
      <w:r>
        <w:rPr>
          <w:color w:val="2E75B6"/>
          <w:sz w:val="30"/>
        </w:rPr>
        <w:t>2. Methodology</w:t>
      </w:r>
    </w:p>
    <w:p>
      <w:pPr>
        <w:pStyle w:val="Heading3"/>
      </w:pPr>
      <w:r>
        <w:rPr>
          <w:color w:val="1F3564"/>
          <w:sz w:val="24"/>
        </w:rPr>
        <w:t>2.1 Preprocessing</w:t>
      </w:r>
    </w:p>
    <w:p>
      <w:pPr>
        <w:spacing w:after="120"/>
      </w:pPr>
      <w:r>
        <w:t>Both feature modalities are independently standardised using StandardScaler fitted on the training set only, then applied to validation and test 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Modality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Input Dim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Scaler</w:t>
            </w:r>
          </w:p>
        </w:tc>
      </w:tr>
      <w:tr>
        <w:tc>
          <w:tcPr>
            <w:tcW w:type="dxa" w:w="2880"/>
          </w:tcPr>
          <w:p>
            <w:r>
              <w:t>Classical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e10_scaler_classical.pkl</w:t>
            </w:r>
          </w:p>
        </w:tc>
      </w:tr>
      <w:tr>
        <w:tc>
          <w:tcPr>
            <w:tcW w:type="dxa" w:w="2880"/>
          </w:tcPr>
          <w:p>
            <w:r>
              <w:t>Deep (EfficientNetB0)</w:t>
            </w:r>
          </w:p>
        </w:tc>
        <w:tc>
          <w:tcPr>
            <w:tcW w:type="dxa" w:w="2880"/>
          </w:tcPr>
          <w:p>
            <w:r>
              <w:t>1,280</w:t>
            </w:r>
          </w:p>
        </w:tc>
        <w:tc>
          <w:tcPr>
            <w:tcW w:type="dxa" w:w="2880"/>
          </w:tcPr>
          <w:p>
            <w:r>
              <w:t>e10_scaler_deep.pkl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2.2 Network Architecture</w:t>
      </w:r>
    </w:p>
    <w:p>
      <w:pPr>
        <w:spacing w:after="120"/>
      </w:pPr>
      <w:r>
        <w:t>The AttentionFusion model (PyTorch) has three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Layers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Classical branch</w:t>
            </w:r>
          </w:p>
        </w:tc>
        <w:tc>
          <w:tcPr>
            <w:tcW w:type="dxa" w:w="2880"/>
          </w:tcPr>
          <w:p>
            <w:r>
              <w:t>Linear(252→256) → ReLU → BN → Linear(256→128) → ReLU</w:t>
            </w:r>
          </w:p>
        </w:tc>
        <w:tc>
          <w:tcPr>
            <w:tcW w:type="dxa" w:w="2880"/>
          </w:tcPr>
          <w:p>
            <w:r>
              <w:t>128-dim embedding</w:t>
            </w:r>
          </w:p>
        </w:tc>
      </w:tr>
      <w:tr>
        <w:tc>
          <w:tcPr>
            <w:tcW w:type="dxa" w:w="2880"/>
          </w:tcPr>
          <w:p>
            <w:r>
              <w:t>Deep branch</w:t>
            </w:r>
          </w:p>
        </w:tc>
        <w:tc>
          <w:tcPr>
            <w:tcW w:type="dxa" w:w="2880"/>
          </w:tcPr>
          <w:p>
            <w:r>
              <w:t>Linear(1280→512) → ReLU → BN → Linear(512→256) → ReLU → BN → Linear(256→128) → ReLU</w:t>
            </w:r>
          </w:p>
        </w:tc>
        <w:tc>
          <w:tcPr>
            <w:tcW w:type="dxa" w:w="2880"/>
          </w:tcPr>
          <w:p>
            <w:r>
              <w:t>128-dim embedding</w:t>
            </w:r>
          </w:p>
        </w:tc>
      </w:tr>
      <w:tr>
        <w:tc>
          <w:tcPr>
            <w:tcW w:type="dxa" w:w="2880"/>
          </w:tcPr>
          <w:p>
            <w:r>
              <w:t>Attention gate</w:t>
            </w:r>
          </w:p>
        </w:tc>
        <w:tc>
          <w:tcPr>
            <w:tcW w:type="dxa" w:w="2880"/>
          </w:tcPr>
          <w:p>
            <w:r>
              <w:t>Concat(128+128=256) → Linear(256→64) → ReLU → Linear(64→2) → Softmax</w:t>
            </w:r>
          </w:p>
        </w:tc>
        <w:tc>
          <w:tcPr>
            <w:tcW w:type="dxa" w:w="2880"/>
          </w:tcPr>
          <w:p>
            <w:r>
              <w:t>2 scalar weights (α_c, α_d)</w:t>
            </w:r>
          </w:p>
        </w:tc>
      </w:tr>
      <w:tr>
        <w:tc>
          <w:tcPr>
            <w:tcW w:type="dxa" w:w="2880"/>
          </w:tcPr>
          <w:p>
            <w:r>
              <w:t>Fusion</w:t>
            </w:r>
          </w:p>
        </w:tc>
        <w:tc>
          <w:tcPr>
            <w:tcW w:type="dxa" w:w="2880"/>
          </w:tcPr>
          <w:p>
            <w:r>
              <w:t>α_c × classical_embed + α_d × deep_embed</w:t>
            </w:r>
          </w:p>
        </w:tc>
        <w:tc>
          <w:tcPr>
            <w:tcW w:type="dxa" w:w="2880"/>
          </w:tcPr>
          <w:p>
            <w:r>
              <w:t>128-dim attended vector</w:t>
            </w:r>
          </w:p>
        </w:tc>
      </w:tr>
      <w:tr>
        <w:tc>
          <w:tcPr>
            <w:tcW w:type="dxa" w:w="2880"/>
          </w:tcPr>
          <w:p>
            <w:r>
              <w:t>Classifier head</w:t>
            </w:r>
          </w:p>
        </w:tc>
        <w:tc>
          <w:tcPr>
            <w:tcW w:type="dxa" w:w="2880"/>
          </w:tcPr>
          <w:p>
            <w:r>
              <w:t>Linear(128→64) → ReLU → Dropout(0.3) → Linear(64→6) → Softmax</w:t>
            </w:r>
          </w:p>
        </w:tc>
        <w:tc>
          <w:tcPr>
            <w:tcW w:type="dxa" w:w="2880"/>
          </w:tcPr>
          <w:p>
            <w:r>
              <w:t>6-class probabilities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2.3 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Hyperparameter</w:t>
            </w:r>
          </w:p>
        </w:tc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Adam, lr=1e-3</w:t>
            </w:r>
          </w:p>
        </w:tc>
      </w:tr>
      <w:tr>
        <w:tc>
          <w:tcPr>
            <w:tcW w:type="dxa" w:w="4320"/>
          </w:tcPr>
          <w:p>
            <w:r>
              <w:t>Loss</w:t>
            </w:r>
          </w:p>
        </w:tc>
        <w:tc>
          <w:tcPr>
            <w:tcW w:type="dxa" w:w="4320"/>
          </w:tcPr>
          <w:p>
            <w:r>
              <w:t>Cross-Entropy with class_weight='balanced'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Max epochs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Early stopping</w:t>
            </w:r>
          </w:p>
        </w:tc>
        <w:tc>
          <w:tcPr>
            <w:tcW w:type="dxa" w:w="4320"/>
          </w:tcPr>
          <w:p>
            <w:r>
              <w:t>patience=10, monitor=val_loss</w:t>
            </w:r>
          </w:p>
        </w:tc>
      </w:tr>
      <w:tr>
        <w:tc>
          <w:tcPr>
            <w:tcW w:type="dxa" w:w="4320"/>
          </w:tcPr>
          <w:p>
            <w:r>
              <w:t>LR scheduler</w:t>
            </w:r>
          </w:p>
        </w:tc>
        <w:tc>
          <w:tcPr>
            <w:tcW w:type="dxa" w:w="4320"/>
          </w:tcPr>
          <w:p>
            <w:r>
              <w:t>ReduceLROnPlateau (factor=0.5, patience=5, min_lr=1e-6)</w:t>
            </w:r>
          </w:p>
        </w:tc>
      </w:tr>
      <w:tr>
        <w:tc>
          <w:tcPr>
            <w:tcW w:type="dxa" w:w="4320"/>
          </w:tcPr>
          <w:p>
            <w:r>
              <w:t>Random 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/>
    <w:p>
      <w:pPr>
        <w:pStyle w:val="Heading2"/>
      </w:pPr>
      <w:r>
        <w:rPr>
          <w:color w:val="2E75B6"/>
          <w:sz w:val="30"/>
        </w:rPr>
        <w:t>3. Results</w:t>
      </w:r>
    </w:p>
    <w:p>
      <w:pPr>
        <w:pStyle w:val="Heading3"/>
      </w:pPr>
      <w:r>
        <w:rPr>
          <w:color w:val="1F3564"/>
          <w:sz w:val="24"/>
        </w:rPr>
        <w:t>3.1 Overall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85.64%</w:t>
            </w:r>
          </w:p>
        </w:tc>
      </w:tr>
      <w:tr>
        <w:tc>
          <w:tcPr>
            <w:tcW w:type="dxa" w:w="4320"/>
          </w:tcPr>
          <w:p>
            <w:r>
              <w:t>Macro-F1</w:t>
            </w:r>
          </w:p>
        </w:tc>
        <w:tc>
          <w:tcPr>
            <w:tcW w:type="dxa" w:w="4320"/>
          </w:tcPr>
          <w:p>
            <w:r>
              <w:t>0.7752</w:t>
            </w:r>
          </w:p>
        </w:tc>
      </w:tr>
      <w:tr>
        <w:tc>
          <w:tcPr>
            <w:tcW w:type="dxa" w:w="4320"/>
          </w:tcPr>
          <w:p>
            <w:r>
              <w:t>Weighted-F1</w:t>
            </w:r>
          </w:p>
        </w:tc>
        <w:tc>
          <w:tcPr>
            <w:tcW w:type="dxa" w:w="4320"/>
          </w:tcPr>
          <w:p>
            <w:r>
              <w:t>0.8525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0.7613</w:t>
            </w:r>
          </w:p>
        </w:tc>
      </w:tr>
      <w:tr>
        <w:tc>
          <w:tcPr>
            <w:tcW w:type="dxa" w:w="4320"/>
          </w:tcPr>
          <w:p>
            <w:r>
              <w:t>AUC-ROC (macro)</w:t>
            </w:r>
          </w:p>
        </w:tc>
        <w:tc>
          <w:tcPr>
            <w:tcW w:type="dxa" w:w="4320"/>
          </w:tcPr>
          <w:p>
            <w:r>
              <w:t>0.9578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1.58 MB</w:t>
            </w:r>
          </w:p>
        </w:tc>
      </w:tr>
      <w:tr>
        <w:tc>
          <w:tcPr>
            <w:tcW w:type="dxa" w:w="4320"/>
          </w:tcPr>
          <w:p>
            <w:r>
              <w:t>Epochs trained</w:t>
            </w:r>
          </w:p>
        </w:tc>
        <w:tc>
          <w:tcPr>
            <w:tcW w:type="dxa" w:w="4320"/>
          </w:tcPr>
          <w:p>
            <w:r>
              <w:t>13 (early stop, patience=10)</w:t>
            </w:r>
          </w:p>
        </w:tc>
      </w:tr>
      <w:tr>
        <w:tc>
          <w:tcPr>
            <w:tcW w:type="dxa" w:w="4320"/>
          </w:tcPr>
          <w:p>
            <w:r>
              <w:t>Feature dim</w:t>
            </w:r>
          </w:p>
        </w:tc>
        <w:tc>
          <w:tcPr>
            <w:tcW w:type="dxa" w:w="4320"/>
          </w:tcPr>
          <w:p>
            <w:r>
              <w:t>128 (learned fused embedding)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3.2 Per-Class F1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Recall</w:t>
            </w:r>
          </w:p>
        </w:tc>
      </w:tr>
      <w:tr>
        <w:tc>
          <w:tcPr>
            <w:tcW w:type="dxa" w:w="2160"/>
          </w:tcPr>
          <w:p>
            <w:r>
              <w:t>BIODEGRADABLE</w:t>
            </w:r>
          </w:p>
        </w:tc>
        <w:tc>
          <w:tcPr>
            <w:tcW w:type="dxa" w:w="2160"/>
          </w:tcPr>
          <w:p>
            <w:r>
              <w:t>0.9405</w:t>
            </w:r>
          </w:p>
        </w:tc>
        <w:tc>
          <w:tcPr>
            <w:tcW w:type="dxa" w:w="2160"/>
          </w:tcPr>
          <w:p>
            <w:r>
              <w:t>0.9108</w:t>
            </w:r>
          </w:p>
        </w:tc>
        <w:tc>
          <w:tcPr>
            <w:tcW w:type="dxa" w:w="2160"/>
          </w:tcPr>
          <w:p>
            <w:r>
              <w:t>0.9722</w:t>
            </w:r>
          </w:p>
        </w:tc>
      </w:tr>
      <w:tr>
        <w:tc>
          <w:tcPr>
            <w:tcW w:type="dxa" w:w="2160"/>
          </w:tcPr>
          <w:p>
            <w:r>
              <w:t>CARDBOARD</w:t>
            </w:r>
          </w:p>
        </w:tc>
        <w:tc>
          <w:tcPr>
            <w:tcW w:type="dxa" w:w="2160"/>
          </w:tcPr>
          <w:p>
            <w:r>
              <w:t>0.8578</w:t>
            </w:r>
          </w:p>
        </w:tc>
        <w:tc>
          <w:tcPr>
            <w:tcW w:type="dxa" w:w="2160"/>
          </w:tcPr>
          <w:p>
            <w:r>
              <w:t>0.8504</w:t>
            </w:r>
          </w:p>
        </w:tc>
        <w:tc>
          <w:tcPr>
            <w:tcW w:type="dxa" w:w="2160"/>
          </w:tcPr>
          <w:p>
            <w:r>
              <w:t>0.8653</w:t>
            </w:r>
          </w:p>
        </w:tc>
      </w:tr>
      <w:tr>
        <w:tc>
          <w:tcPr>
            <w:tcW w:type="dxa" w:w="2160"/>
          </w:tcPr>
          <w:p>
            <w:r>
              <w:t>GLASS</w:t>
            </w:r>
          </w:p>
        </w:tc>
        <w:tc>
          <w:tcPr>
            <w:tcW w:type="dxa" w:w="2160"/>
          </w:tcPr>
          <w:p>
            <w:r>
              <w:t>0.7567</w:t>
            </w:r>
          </w:p>
        </w:tc>
        <w:tc>
          <w:tcPr>
            <w:tcW w:type="dxa" w:w="2160"/>
          </w:tcPr>
          <w:p>
            <w:r>
              <w:t>0.8744</w:t>
            </w:r>
          </w:p>
        </w:tc>
        <w:tc>
          <w:tcPr>
            <w:tcW w:type="dxa" w:w="2160"/>
          </w:tcPr>
          <w:p>
            <w:r>
              <w:t>0.6669</w:t>
            </w:r>
          </w:p>
        </w:tc>
      </w:tr>
      <w:tr>
        <w:tc>
          <w:tcPr>
            <w:tcW w:type="dxa" w:w="2160"/>
          </w:tcPr>
          <w:p>
            <w:r>
              <w:t>METAL</w:t>
            </w:r>
          </w:p>
        </w:tc>
        <w:tc>
          <w:tcPr>
            <w:tcW w:type="dxa" w:w="2160"/>
          </w:tcPr>
          <w:p>
            <w:r>
              <w:t>0.7419</w:t>
            </w:r>
          </w:p>
        </w:tc>
        <w:tc>
          <w:tcPr>
            <w:tcW w:type="dxa" w:w="2160"/>
          </w:tcPr>
          <w:p>
            <w:r>
              <w:t>0.6959</w:t>
            </w:r>
          </w:p>
        </w:tc>
        <w:tc>
          <w:tcPr>
            <w:tcW w:type="dxa" w:w="2160"/>
          </w:tcPr>
          <w:p>
            <w:r>
              <w:t>0.7943</w:t>
            </w:r>
          </w:p>
        </w:tc>
      </w:tr>
      <w:tr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0.6910</w:t>
            </w:r>
          </w:p>
        </w:tc>
        <w:tc>
          <w:tcPr>
            <w:tcW w:type="dxa" w:w="2160"/>
          </w:tcPr>
          <w:p>
            <w:r>
              <w:t>0.7928</w:t>
            </w:r>
          </w:p>
        </w:tc>
        <w:tc>
          <w:tcPr>
            <w:tcW w:type="dxa" w:w="2160"/>
          </w:tcPr>
          <w:p>
            <w:r>
              <w:t>0.6123</w:t>
            </w:r>
          </w:p>
        </w:tc>
      </w:tr>
      <w:tr>
        <w:tc>
          <w:tcPr>
            <w:tcW w:type="dxa" w:w="2160"/>
          </w:tcPr>
          <w:p>
            <w:r>
              <w:t>PLASTIC</w:t>
            </w:r>
          </w:p>
        </w:tc>
        <w:tc>
          <w:tcPr>
            <w:tcW w:type="dxa" w:w="2160"/>
          </w:tcPr>
          <w:p>
            <w:r>
              <w:t>0.6634</w:t>
            </w:r>
          </w:p>
        </w:tc>
        <w:tc>
          <w:tcPr>
            <w:tcW w:type="dxa" w:w="2160"/>
          </w:tcPr>
          <w:p>
            <w:r>
              <w:t>0.6704</w:t>
            </w:r>
          </w:p>
        </w:tc>
        <w:tc>
          <w:tcPr>
            <w:tcW w:type="dxa" w:w="2160"/>
          </w:tcPr>
          <w:p>
            <w:r>
              <w:t>0.6566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3.3 Per-Class Attention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Avg Classical Weight (α_c)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Avg Deep Weight (α_d)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N Samples</w:t>
            </w:r>
          </w:p>
        </w:tc>
      </w:tr>
      <w:tr>
        <w:tc>
          <w:tcPr>
            <w:tcW w:type="dxa" w:w="2160"/>
          </w:tcPr>
          <w:p>
            <w:r>
              <w:t>BIODEGRADABLE</w:t>
            </w:r>
          </w:p>
        </w:tc>
        <w:tc>
          <w:tcPr>
            <w:tcW w:type="dxa" w:w="2160"/>
          </w:tcPr>
          <w:p>
            <w:r>
              <w:t>0.3863</w:t>
            </w:r>
          </w:p>
        </w:tc>
        <w:tc>
          <w:tcPr>
            <w:tcW w:type="dxa" w:w="2160"/>
          </w:tcPr>
          <w:p>
            <w:r>
              <w:t>0.6137</w:t>
            </w:r>
          </w:p>
        </w:tc>
        <w:tc>
          <w:tcPr>
            <w:tcW w:type="dxa" w:w="2160"/>
          </w:tcPr>
          <w:p>
            <w:r>
              <w:t>5862</w:t>
            </w:r>
          </w:p>
        </w:tc>
      </w:tr>
      <w:tr>
        <w:tc>
          <w:tcPr>
            <w:tcW w:type="dxa" w:w="2160"/>
          </w:tcPr>
          <w:p>
            <w:r>
              <w:t>CARDBOARD</w:t>
            </w:r>
          </w:p>
        </w:tc>
        <w:tc>
          <w:tcPr>
            <w:tcW w:type="dxa" w:w="2160"/>
          </w:tcPr>
          <w:p>
            <w:r>
              <w:t>0.4116</w:t>
            </w:r>
          </w:p>
        </w:tc>
        <w:tc>
          <w:tcPr>
            <w:tcW w:type="dxa" w:w="2160"/>
          </w:tcPr>
          <w:p>
            <w:r>
              <w:t>0.5884</w:t>
            </w:r>
          </w:p>
        </w:tc>
        <w:tc>
          <w:tcPr>
            <w:tcW w:type="dxa" w:w="2160"/>
          </w:tcPr>
          <w:p>
            <w:r>
              <w:t>683</w:t>
            </w:r>
          </w:p>
        </w:tc>
      </w:tr>
      <w:tr>
        <w:tc>
          <w:tcPr>
            <w:tcW w:type="dxa" w:w="2160"/>
          </w:tcPr>
          <w:p>
            <w:r>
              <w:t>GLASS</w:t>
            </w:r>
          </w:p>
        </w:tc>
        <w:tc>
          <w:tcPr>
            <w:tcW w:type="dxa" w:w="2160"/>
          </w:tcPr>
          <w:p>
            <w:r>
              <w:t>0.4260</w:t>
            </w:r>
          </w:p>
        </w:tc>
        <w:tc>
          <w:tcPr>
            <w:tcW w:type="dxa" w:w="2160"/>
          </w:tcPr>
          <w:p>
            <w:r>
              <w:t>0.5740</w:t>
            </w:r>
          </w:p>
        </w:tc>
        <w:tc>
          <w:tcPr>
            <w:tcW w:type="dxa" w:w="2160"/>
          </w:tcPr>
          <w:p>
            <w:r>
              <w:t>1555</w:t>
            </w:r>
          </w:p>
        </w:tc>
      </w:tr>
      <w:tr>
        <w:tc>
          <w:tcPr>
            <w:tcW w:type="dxa" w:w="2160"/>
          </w:tcPr>
          <w:p>
            <w:r>
              <w:t>METAL</w:t>
            </w:r>
          </w:p>
        </w:tc>
        <w:tc>
          <w:tcPr>
            <w:tcW w:type="dxa" w:w="2160"/>
          </w:tcPr>
          <w:p>
            <w:r>
              <w:t>0.4488</w:t>
            </w:r>
          </w:p>
        </w:tc>
        <w:tc>
          <w:tcPr>
            <w:tcW w:type="dxa" w:w="2160"/>
          </w:tcPr>
          <w:p>
            <w:r>
              <w:t>0.5512</w:t>
            </w:r>
          </w:p>
        </w:tc>
        <w:tc>
          <w:tcPr>
            <w:tcW w:type="dxa" w:w="2160"/>
          </w:tcPr>
          <w:p>
            <w:r>
              <w:t>948</w:t>
            </w:r>
          </w:p>
        </w:tc>
      </w:tr>
      <w:tr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0.4210</w:t>
            </w:r>
          </w:p>
        </w:tc>
        <w:tc>
          <w:tcPr>
            <w:tcW w:type="dxa" w:w="2160"/>
          </w:tcPr>
          <w:p>
            <w:r>
              <w:t>0.5790</w:t>
            </w:r>
          </w:p>
        </w:tc>
        <w:tc>
          <w:tcPr>
            <w:tcW w:type="dxa" w:w="2160"/>
          </w:tcPr>
          <w:p>
            <w:r>
              <w:t>681</w:t>
            </w:r>
          </w:p>
        </w:tc>
      </w:tr>
      <w:tr>
        <w:tc>
          <w:tcPr>
            <w:tcW w:type="dxa" w:w="2160"/>
          </w:tcPr>
          <w:p>
            <w:r>
              <w:t>PLASTIC</w:t>
            </w:r>
          </w:p>
        </w:tc>
        <w:tc>
          <w:tcPr>
            <w:tcW w:type="dxa" w:w="2160"/>
          </w:tcPr>
          <w:p>
            <w:r>
              <w:t>0.5099</w:t>
            </w:r>
          </w:p>
        </w:tc>
        <w:tc>
          <w:tcPr>
            <w:tcW w:type="dxa" w:w="2160"/>
          </w:tcPr>
          <w:p>
            <w:r>
              <w:t>0.4901</w:t>
            </w:r>
          </w:p>
        </w:tc>
        <w:tc>
          <w:tcPr>
            <w:tcW w:type="dxa" w:w="2160"/>
          </w:tcPr>
          <w:p>
            <w:r>
              <w:t>824</w:t>
            </w:r>
          </w:p>
        </w:tc>
      </w:tr>
    </w:tbl>
    <w:p>
      <w:r>
        <w:rPr>
          <w:i/>
          <w:sz w:val="20"/>
        </w:rPr>
        <w:t>Each row sums to 1.0. α_d &gt; α_c for all classes except PLASTIC, reflecting the superior discriminative power of deep features in most cases.</w:t>
      </w:r>
    </w:p>
    <w:p/>
    <w:p>
      <w:pPr>
        <w:pStyle w:val="Heading2"/>
      </w:pPr>
      <w:r>
        <w:rPr>
          <w:color w:val="2E75B6"/>
          <w:sz w:val="30"/>
        </w:rPr>
        <w:t>4.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Training and validation loss/accuracy curves. Early stopping triggered at epoch 13.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atten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Per-class average attention weights (heatmap). Deep features (right column) consistently receive higher weight, except PLASTIC.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Confusion matrix for E10 Attention Fusion on the test set (10,553 samples)</w:t>
      </w:r>
    </w:p>
    <w:p/>
    <w:p>
      <w:pPr>
        <w:pStyle w:val="Heading2"/>
      </w:pPr>
      <w:r>
        <w:rPr>
          <w:color w:val="2E75B6"/>
          <w:sz w:val="30"/>
        </w:rPr>
        <w:t>5. Insights &amp; Discussion</w:t>
      </w:r>
    </w:p>
    <w:p>
      <w:pPr>
        <w:pStyle w:val="ListBullet"/>
      </w:pPr>
      <w:r>
        <w:t>E10 achieves the highest accuracy of all Bayo's experiments (85.64%), surpassing even the SVM-only baseline in raw accuracy, though Macro-F1 (0.775) is slightly below E9.</w:t>
      </w:r>
    </w:p>
    <w:p>
      <w:pPr>
        <w:pStyle w:val="ListBullet"/>
      </w:pPr>
      <w:r>
        <w:t>The attention gate learns near-equal weights overall (α_c≈0.43, α_d≈0.57), but per-class variation is meaningful — PLASTIC is the only class where classical features receive more weight (0.510 vs 0.490).</w:t>
      </w:r>
    </w:p>
    <w:p>
      <w:pPr>
        <w:pStyle w:val="ListBullet"/>
      </w:pPr>
      <w:r>
        <w:t>BIODEGRADABLE achieves F1=0.941, the highest per-class score, driven by its dominant class frequency and high attention to deep features (α_d=0.614).</w:t>
      </w:r>
    </w:p>
    <w:p>
      <w:pPr>
        <w:pStyle w:val="ListBullet"/>
      </w:pPr>
      <w:r>
        <w:t>The model is compact at 1.58 MB and converges in 13 epochs — practical for deployment even without GPU acceleration.</w:t>
      </w:r>
    </w:p>
    <w:p>
      <w:pPr>
        <w:pStyle w:val="ListBullet"/>
      </w:pPr>
      <w:r>
        <w:t>The attention mechanism provides interpretability: per-sample gate weights can be logged at inference time to explain which modality drove each prediction.</w:t>
      </w:r>
    </w:p>
    <w:p>
      <w:pPr>
        <w:pStyle w:val="ListBullet"/>
      </w:pPr>
      <w:r>
        <w:t>GLASS and METAL remain challenging (F1≈0.72–0.76) for all fusion methods, suggesting class confusion inherent to the visual features rather than a fusion limitation.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E10 Attention Fusion</dc:title>
  <dc:subject/>
  <dc:creator>Bayo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