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1F3564"/>
          <w:sz w:val="44"/>
        </w:rPr>
        <w:t>E7 — Feature Selection Fusion</w:t>
      </w:r>
    </w:p>
    <w:p>
      <w:pPr>
        <w:spacing w:after="120"/>
      </w:pPr>
      <w:r>
        <w:t>Member: Bayo  ·  Date: May 2026  ·  Project: Compression-Aware Multiscale Feature Fusion for Waste Object Detection and Classification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rPr>
          <w:color w:val="2E75B6"/>
          <w:sz w:val="30"/>
        </w:rPr>
        <w:t>1. Overview</w:t>
      </w:r>
    </w:p>
    <w:p>
      <w:pPr>
        <w:spacing w:after="120"/>
      </w:pPr>
      <w:r>
        <w:t>Experiment E7 investigates whether applying automated feature selection to a high-dimensional fused feature vector can match—or exceed—the performance of using all raw features, while dramatically reducing the computational and memory footprint. The fused input combines classical hand-crafted descriptors (252-dim) with EfficientNetB0 deep features (1,280-dim), giving a 1,532-dimensional input. A Random Forest selector reduces this to the 200 most informative dimensions before a second RF classifier is trained on the compressed representation.</w:t>
      </w:r>
    </w:p>
    <w:p>
      <w:pPr>
        <w:pStyle w:val="Heading2"/>
      </w:pPr>
      <w:r>
        <w:rPr>
          <w:color w:val="2E75B6"/>
          <w:sz w:val="30"/>
        </w:rPr>
        <w:t>2. Methodology</w:t>
      </w:r>
    </w:p>
    <w:p>
      <w:pPr>
        <w:pStyle w:val="Heading3"/>
      </w:pPr>
      <w:r>
        <w:rPr>
          <w:color w:val="1F3564"/>
          <w:sz w:val="24"/>
        </w:rPr>
        <w:t>2.1 Input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564"/>
          </w:tcPr>
          <w:p>
            <w:r>
              <w:rPr>
                <w:b/>
                <w:color w:val="FFFFFF"/>
              </w:rPr>
              <w:t>Split</w:t>
            </w:r>
          </w:p>
        </w:tc>
        <w:tc>
          <w:tcPr>
            <w:tcW w:type="dxa" w:w="2880"/>
            <w:shd w:val="clear" w:color="auto" w:fill="1F3564"/>
          </w:tcPr>
          <w:p>
            <w:r>
              <w:rPr>
                <w:b/>
                <w:color w:val="FFFFFF"/>
              </w:rPr>
              <w:t>Shape</w:t>
            </w:r>
          </w:p>
        </w:tc>
        <w:tc>
          <w:tcPr>
            <w:tcW w:type="dxa" w:w="2880"/>
            <w:shd w:val="clear" w:color="auto" w:fill="1F3564"/>
          </w:tcPr>
          <w:p>
            <w:r>
              <w:rPr>
                <w:b/>
                <w:color w:val="FFFFFF"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t>Train</w:t>
            </w:r>
          </w:p>
        </w:tc>
        <w:tc>
          <w:tcPr>
            <w:tcW w:type="dxa" w:w="2880"/>
          </w:tcPr>
          <w:p>
            <w:r>
              <w:t>(45,177 × 1,532)</w:t>
            </w:r>
          </w:p>
        </w:tc>
        <w:tc>
          <w:tcPr>
            <w:tcW w:type="dxa" w:w="2880"/>
          </w:tcPr>
          <w:p>
            <w:r>
              <w:t>classical_train_clean_X + deep_train_X</w:t>
            </w:r>
          </w:p>
        </w:tc>
      </w:tr>
      <w:tr>
        <w:tc>
          <w:tcPr>
            <w:tcW w:type="dxa" w:w="2880"/>
          </w:tcPr>
          <w:p>
            <w:r>
              <w:t>Val</w:t>
            </w:r>
          </w:p>
        </w:tc>
        <w:tc>
          <w:tcPr>
            <w:tcW w:type="dxa" w:w="2880"/>
          </w:tcPr>
          <w:p>
            <w:r>
              <w:t>(9,935 × 1,532)</w:t>
            </w:r>
          </w:p>
        </w:tc>
        <w:tc>
          <w:tcPr>
            <w:tcW w:type="dxa" w:w="2880"/>
          </w:tcPr>
          <w:p>
            <w:r>
              <w:t>classical_val_X + deep_val_X</w:t>
            </w:r>
          </w:p>
        </w:tc>
      </w:tr>
      <w:tr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(10,553 × 1,532)</w:t>
            </w:r>
          </w:p>
        </w:tc>
        <w:tc>
          <w:tcPr>
            <w:tcW w:type="dxa" w:w="2880"/>
          </w:tcPr>
          <w:p>
            <w:r>
              <w:t>classical_test_X + deep_test_X</w:t>
            </w:r>
          </w:p>
        </w:tc>
      </w:tr>
    </w:tbl>
    <w:p/>
    <w:p>
      <w:pPr>
        <w:pStyle w:val="Heading3"/>
      </w:pPr>
      <w:r>
        <w:rPr>
          <w:color w:val="1F3564"/>
          <w:sz w:val="24"/>
        </w:rPr>
        <w:t>2.2 Two-RF Architecture</w:t>
      </w:r>
    </w:p>
    <w:p>
      <w:pPr>
        <w:spacing w:after="120"/>
      </w:pPr>
      <w:r>
        <w:t>A critical design rule is maintained: two completely separate Random Forest objects are used. The selector RF is trained only to extract feature importances; it is never used for prediction and is discarded after selecting the top-200 indices. The final RF is then trained from scratch on the 200-dimensional selected feature matrix.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564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880"/>
            <w:shd w:val="clear" w:color="auto" w:fill="1F3564"/>
          </w:tcPr>
          <w:p>
            <w:r>
              <w:rPr>
                <w:b/>
                <w:color w:val="FFFFFF"/>
              </w:rPr>
              <w:t>Object</w:t>
            </w:r>
          </w:p>
        </w:tc>
        <w:tc>
          <w:tcPr>
            <w:tcW w:type="dxa" w:w="2880"/>
            <w:shd w:val="clear" w:color="auto" w:fill="1F3564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1 — Selector RF</w:t>
            </w:r>
          </w:p>
        </w:tc>
        <w:tc>
          <w:tcPr>
            <w:tcW w:type="dxa" w:w="2880"/>
          </w:tcPr>
          <w:p>
            <w:r>
              <w:t>RandomForestClassifier(n_estimators=200, class_weight='balanced', random_state=42)</w:t>
            </w:r>
          </w:p>
        </w:tc>
        <w:tc>
          <w:tcPr>
            <w:tcW w:type="dxa" w:w="2880"/>
          </w:tcPr>
          <w:p>
            <w:r>
              <w:t>Fit on full 1532-dim train data → extract feature_importances_</w:t>
            </w:r>
          </w:p>
        </w:tc>
      </w:tr>
      <w:tr>
        <w:tc>
          <w:tcPr>
            <w:tcW w:type="dxa" w:w="2880"/>
          </w:tcPr>
          <w:p>
            <w:r>
              <w:t>2 — Top-200 index</w:t>
            </w:r>
          </w:p>
        </w:tc>
        <w:tc>
          <w:tcPr>
            <w:tcW w:type="dxa" w:w="2880"/>
          </w:tcPr>
          <w:p>
            <w:r>
              <w:t>np.argsort(importances)[::-1][:200]</w:t>
            </w:r>
          </w:p>
        </w:tc>
        <w:tc>
          <w:tcPr>
            <w:tcW w:type="dxa" w:w="2880"/>
          </w:tcPr>
          <w:p>
            <w:r>
              <w:t>Identify 200 highest-importance feature indices</w:t>
            </w:r>
          </w:p>
        </w:tc>
      </w:tr>
      <w:tr>
        <w:tc>
          <w:tcPr>
            <w:tcW w:type="dxa" w:w="2880"/>
          </w:tcPr>
          <w:p>
            <w:r>
              <w:t>3 — Final RF</w:t>
            </w:r>
          </w:p>
        </w:tc>
        <w:tc>
          <w:tcPr>
            <w:tcW w:type="dxa" w:w="2880"/>
          </w:tcPr>
          <w:p>
            <w:r>
              <w:t>RandomForestClassifier(n_estimators=200, class_weight='balanced', random_state=42)</w:t>
            </w:r>
          </w:p>
        </w:tc>
        <w:tc>
          <w:tcPr>
            <w:tcW w:type="dxa" w:w="2880"/>
          </w:tcPr>
          <w:p>
            <w:r>
              <w:t>Fit on 200-dim selected train data → saved model artifact</w:t>
            </w:r>
          </w:p>
        </w:tc>
      </w:tr>
    </w:tbl>
    <w:p/>
    <w:p>
      <w:pPr>
        <w:pStyle w:val="Heading3"/>
      </w:pPr>
      <w:r>
        <w:rPr>
          <w:color w:val="1F3564"/>
          <w:sz w:val="24"/>
        </w:rPr>
        <w:t>2.3 Feature Group Analysis</w:t>
      </w:r>
    </w:p>
    <w:p>
      <w:pPr>
        <w:spacing w:after="120"/>
      </w:pPr>
      <w:r>
        <w:t>The 1,532-dim fused vector is partitioned into two groups: Classical (indices 0–251, 252 dims) and Deep/EfficientNetB0 (indices 252–1531, 1280 dims). After selection, the top-200 indices are mapped back to their originating group to understand which modality the RF found most informative.</w:t>
      </w:r>
    </w:p>
    <w:p>
      <w:pPr>
        <w:pStyle w:val="Heading2"/>
      </w:pPr>
      <w:r>
        <w:rPr>
          <w:color w:val="2E75B6"/>
          <w:sz w:val="30"/>
        </w:rPr>
        <w:t>3. Results</w:t>
      </w:r>
    </w:p>
    <w:p>
      <w:pPr>
        <w:pStyle w:val="Heading3"/>
      </w:pPr>
      <w:r>
        <w:rPr>
          <w:color w:val="1F3564"/>
          <w:sz w:val="24"/>
        </w:rPr>
        <w:t>3.1 Overall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564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val="clear" w:color="auto" w:fill="1F3564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Accuracy</w:t>
            </w:r>
          </w:p>
        </w:tc>
        <w:tc>
          <w:tcPr>
            <w:tcW w:type="dxa" w:w="4320"/>
          </w:tcPr>
          <w:p>
            <w:r>
              <w:t>80.40%</w:t>
            </w:r>
          </w:p>
        </w:tc>
      </w:tr>
      <w:tr>
        <w:tc>
          <w:tcPr>
            <w:tcW w:type="dxa" w:w="4320"/>
          </w:tcPr>
          <w:p>
            <w:r>
              <w:t>Macro-F1</w:t>
            </w:r>
          </w:p>
        </w:tc>
        <w:tc>
          <w:tcPr>
            <w:tcW w:type="dxa" w:w="4320"/>
          </w:tcPr>
          <w:p>
            <w:r>
              <w:t>0.7079</w:t>
            </w:r>
          </w:p>
        </w:tc>
      </w:tr>
      <w:tr>
        <w:tc>
          <w:tcPr>
            <w:tcW w:type="dxa" w:w="4320"/>
          </w:tcPr>
          <w:p>
            <w:r>
              <w:t>Weighted-F1</w:t>
            </w:r>
          </w:p>
        </w:tc>
        <w:tc>
          <w:tcPr>
            <w:tcW w:type="dxa" w:w="4320"/>
          </w:tcPr>
          <w:p>
            <w:r>
              <w:t>0.7878</w:t>
            </w:r>
          </w:p>
        </w:tc>
      </w:tr>
      <w:tr>
        <w:tc>
          <w:tcPr>
            <w:tcW w:type="dxa" w:w="4320"/>
          </w:tcPr>
          <w:p>
            <w:r>
              <w:t>Balanced Accuracy</w:t>
            </w:r>
          </w:p>
        </w:tc>
        <w:tc>
          <w:tcPr>
            <w:tcW w:type="dxa" w:w="4320"/>
          </w:tcPr>
          <w:p>
            <w:r>
              <w:t>0.6502</w:t>
            </w:r>
          </w:p>
        </w:tc>
      </w:tr>
      <w:tr>
        <w:tc>
          <w:tcPr>
            <w:tcW w:type="dxa" w:w="4320"/>
          </w:tcPr>
          <w:p>
            <w:r>
              <w:t>AUC-ROC (macro)</w:t>
            </w:r>
          </w:p>
        </w:tc>
        <w:tc>
          <w:tcPr>
            <w:tcW w:type="dxa" w:w="4320"/>
          </w:tcPr>
          <w:p>
            <w:r>
              <w:t>0.9283</w:t>
            </w:r>
          </w:p>
        </w:tc>
      </w:tr>
      <w:tr>
        <w:tc>
          <w:tcPr>
            <w:tcW w:type="dxa" w:w="4320"/>
          </w:tcPr>
          <w:p>
            <w:r>
              <w:t>Feature Dimension</w:t>
            </w:r>
          </w:p>
        </w:tc>
        <w:tc>
          <w:tcPr>
            <w:tcW w:type="dxa" w:w="4320"/>
          </w:tcPr>
          <w:p>
            <w:r>
              <w:t>200 (from 1,532)</w:t>
            </w:r>
          </w:p>
        </w:tc>
      </w:tr>
    </w:tbl>
    <w:p/>
    <w:p>
      <w:pPr>
        <w:pStyle w:val="Heading3"/>
      </w:pPr>
      <w:r>
        <w:rPr>
          <w:color w:val="1F3564"/>
          <w:sz w:val="24"/>
        </w:rPr>
        <w:t>3.2 Per-Class F1 Scores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564"/>
          </w:tcPr>
          <w:p>
            <w:r>
              <w:rPr>
                <w:b/>
                <w:color w:val="FFFFFF"/>
              </w:rPr>
              <w:t>Class</w:t>
            </w:r>
          </w:p>
        </w:tc>
        <w:tc>
          <w:tcPr>
            <w:tcW w:type="dxa" w:w="2160"/>
            <w:shd w:val="clear" w:color="auto" w:fill="1F3564"/>
          </w:tcPr>
          <w:p>
            <w:r>
              <w:rPr>
                <w:b/>
                <w:color w:val="FFFFFF"/>
              </w:rPr>
              <w:t>F1</w:t>
            </w:r>
          </w:p>
        </w:tc>
        <w:tc>
          <w:tcPr>
            <w:tcW w:type="dxa" w:w="2160"/>
            <w:shd w:val="clear" w:color="auto" w:fill="1F3564"/>
          </w:tcPr>
          <w:p>
            <w:r>
              <w:rPr>
                <w:b/>
                <w:color w:val="FFFFFF"/>
              </w:rPr>
              <w:t>Precision</w:t>
            </w:r>
          </w:p>
        </w:tc>
        <w:tc>
          <w:tcPr>
            <w:tcW w:type="dxa" w:w="2160"/>
            <w:shd w:val="clear" w:color="auto" w:fill="1F3564"/>
          </w:tcPr>
          <w:p>
            <w:r>
              <w:rPr>
                <w:b/>
                <w:color w:val="FFFFFF"/>
              </w:rPr>
              <w:t>Recall</w:t>
            </w:r>
          </w:p>
        </w:tc>
      </w:tr>
      <w:tr>
        <w:tc>
          <w:tcPr>
            <w:tcW w:type="dxa" w:w="2160"/>
          </w:tcPr>
          <w:p>
            <w:r>
              <w:t>BIODEGRADABLE</w:t>
            </w:r>
          </w:p>
        </w:tc>
        <w:tc>
          <w:tcPr>
            <w:tcW w:type="dxa" w:w="2160"/>
          </w:tcPr>
          <w:p>
            <w:r>
              <w:t>0.8893</w:t>
            </w:r>
          </w:p>
        </w:tc>
        <w:tc>
          <w:tcPr>
            <w:tcW w:type="dxa" w:w="2160"/>
          </w:tcPr>
          <w:p>
            <w:r>
              <w:t>0.8038</w:t>
            </w:r>
          </w:p>
        </w:tc>
        <w:tc>
          <w:tcPr>
            <w:tcW w:type="dxa" w:w="2160"/>
          </w:tcPr>
          <w:p>
            <w:r>
              <w:t>0.9952</w:t>
            </w:r>
          </w:p>
        </w:tc>
      </w:tr>
      <w:tr>
        <w:tc>
          <w:tcPr>
            <w:tcW w:type="dxa" w:w="2160"/>
          </w:tcPr>
          <w:p>
            <w:r>
              <w:t>CARDBOARD</w:t>
            </w:r>
          </w:p>
        </w:tc>
        <w:tc>
          <w:tcPr>
            <w:tcW w:type="dxa" w:w="2160"/>
          </w:tcPr>
          <w:p>
            <w:r>
              <w:t>0.8116</w:t>
            </w:r>
          </w:p>
        </w:tc>
        <w:tc>
          <w:tcPr>
            <w:tcW w:type="dxa" w:w="2160"/>
          </w:tcPr>
          <w:p>
            <w:r>
              <w:t>0.9061</w:t>
            </w:r>
          </w:p>
        </w:tc>
        <w:tc>
          <w:tcPr>
            <w:tcW w:type="dxa" w:w="2160"/>
          </w:tcPr>
          <w:p>
            <w:r>
              <w:t>0.7350</w:t>
            </w:r>
          </w:p>
        </w:tc>
      </w:tr>
      <w:tr>
        <w:tc>
          <w:tcPr>
            <w:tcW w:type="dxa" w:w="2160"/>
          </w:tcPr>
          <w:p>
            <w:r>
              <w:t>GLASS</w:t>
            </w:r>
          </w:p>
        </w:tc>
        <w:tc>
          <w:tcPr>
            <w:tcW w:type="dxa" w:w="2160"/>
          </w:tcPr>
          <w:p>
            <w:r>
              <w:t>0.6160</w:t>
            </w:r>
          </w:p>
        </w:tc>
        <w:tc>
          <w:tcPr>
            <w:tcW w:type="dxa" w:w="2160"/>
          </w:tcPr>
          <w:p>
            <w:r>
              <w:t>0.8461</w:t>
            </w:r>
          </w:p>
        </w:tc>
        <w:tc>
          <w:tcPr>
            <w:tcW w:type="dxa" w:w="2160"/>
          </w:tcPr>
          <w:p>
            <w:r>
              <w:t>0.4842</w:t>
            </w:r>
          </w:p>
        </w:tc>
      </w:tr>
      <w:tr>
        <w:tc>
          <w:tcPr>
            <w:tcW w:type="dxa" w:w="2160"/>
          </w:tcPr>
          <w:p>
            <w:r>
              <w:t>METAL</w:t>
            </w:r>
          </w:p>
        </w:tc>
        <w:tc>
          <w:tcPr>
            <w:tcW w:type="dxa" w:w="2160"/>
          </w:tcPr>
          <w:p>
            <w:r>
              <w:t>0.6911</w:t>
            </w:r>
          </w:p>
        </w:tc>
        <w:tc>
          <w:tcPr>
            <w:tcW w:type="dxa" w:w="2160"/>
          </w:tcPr>
          <w:p>
            <w:r>
              <w:t>0.7721</w:t>
            </w:r>
          </w:p>
        </w:tc>
        <w:tc>
          <w:tcPr>
            <w:tcW w:type="dxa" w:w="2160"/>
          </w:tcPr>
          <w:p>
            <w:r>
              <w:t>0.6255</w:t>
            </w:r>
          </w:p>
        </w:tc>
      </w:tr>
      <w:tr>
        <w:tc>
          <w:tcPr>
            <w:tcW w:type="dxa" w:w="2160"/>
          </w:tcPr>
          <w:p>
            <w:r>
              <w:t>PAPER</w:t>
            </w:r>
          </w:p>
        </w:tc>
        <w:tc>
          <w:tcPr>
            <w:tcW w:type="dxa" w:w="2160"/>
          </w:tcPr>
          <w:p>
            <w:r>
              <w:t>0.6144</w:t>
            </w:r>
          </w:p>
        </w:tc>
        <w:tc>
          <w:tcPr>
            <w:tcW w:type="dxa" w:w="2160"/>
          </w:tcPr>
          <w:p>
            <w:r>
              <w:t>0.7949</w:t>
            </w:r>
          </w:p>
        </w:tc>
        <w:tc>
          <w:tcPr>
            <w:tcW w:type="dxa" w:w="2160"/>
          </w:tcPr>
          <w:p>
            <w:r>
              <w:t>0.5007</w:t>
            </w:r>
          </w:p>
        </w:tc>
      </w:tr>
      <w:tr>
        <w:tc>
          <w:tcPr>
            <w:tcW w:type="dxa" w:w="2160"/>
          </w:tcPr>
          <w:p>
            <w:r>
              <w:t>PLASTIC</w:t>
            </w:r>
          </w:p>
        </w:tc>
        <w:tc>
          <w:tcPr>
            <w:tcW w:type="dxa" w:w="2160"/>
          </w:tcPr>
          <w:p>
            <w:r>
              <w:t>0.6252</w:t>
            </w:r>
          </w:p>
        </w:tc>
        <w:tc>
          <w:tcPr>
            <w:tcW w:type="dxa" w:w="2160"/>
          </w:tcPr>
          <w:p>
            <w:r>
              <w:t>0.7064</w:t>
            </w:r>
          </w:p>
        </w:tc>
        <w:tc>
          <w:tcPr>
            <w:tcW w:type="dxa" w:w="2160"/>
          </w:tcPr>
          <w:p>
            <w:r>
              <w:t>0.5607</w:t>
            </w:r>
          </w:p>
        </w:tc>
      </w:tr>
    </w:tbl>
    <w:p/>
    <w:p>
      <w:pPr>
        <w:pStyle w:val="Heading3"/>
      </w:pPr>
      <w:r>
        <w:rPr>
          <w:color w:val="1F3564"/>
          <w:sz w:val="24"/>
        </w:rPr>
        <w:t>3.3 Feature Group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564"/>
          </w:tcPr>
          <w:p>
            <w:r>
              <w:rPr>
                <w:b/>
                <w:color w:val="FFFFFF"/>
              </w:rPr>
              <w:t>Group</w:t>
            </w:r>
          </w:p>
        </w:tc>
        <w:tc>
          <w:tcPr>
            <w:tcW w:type="dxa" w:w="2880"/>
            <w:shd w:val="clear" w:color="auto" w:fill="1F3564"/>
          </w:tcPr>
          <w:p>
            <w:r>
              <w:rPr>
                <w:b/>
                <w:color w:val="FFFFFF"/>
              </w:rPr>
              <w:t>Features Selected</w:t>
            </w:r>
          </w:p>
        </w:tc>
        <w:tc>
          <w:tcPr>
            <w:tcW w:type="dxa" w:w="2880"/>
            <w:shd w:val="clear" w:color="auto" w:fill="1F3564"/>
          </w:tcPr>
          <w:p>
            <w:r>
              <w:rPr>
                <w:b/>
                <w:color w:val="FFFFFF"/>
              </w:rPr>
              <w:t>Percentage</w:t>
            </w:r>
          </w:p>
        </w:tc>
      </w:tr>
      <w:tr>
        <w:tc>
          <w:tcPr>
            <w:tcW w:type="dxa" w:w="2880"/>
          </w:tcPr>
          <w:p>
            <w:r>
              <w:t>Classical (hand-crafted)</w:t>
            </w:r>
          </w:p>
        </w:tc>
        <w:tc>
          <w:tcPr>
            <w:tcW w:type="dxa" w:w="2880"/>
          </w:tcPr>
          <w:p>
            <w:r>
              <w:t>102</w:t>
            </w:r>
          </w:p>
        </w:tc>
        <w:tc>
          <w:tcPr>
            <w:tcW w:type="dxa" w:w="2880"/>
          </w:tcPr>
          <w:p>
            <w:r>
              <w:t>51%</w:t>
            </w:r>
          </w:p>
        </w:tc>
      </w:tr>
      <w:tr>
        <w:tc>
          <w:tcPr>
            <w:tcW w:type="dxa" w:w="2880"/>
          </w:tcPr>
          <w:p>
            <w:r>
              <w:t>Deep (EfficientNetB0)</w:t>
            </w:r>
          </w:p>
        </w:tc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>
              <w:t>49%</w:t>
            </w:r>
          </w:p>
        </w:tc>
      </w:tr>
    </w:tbl>
    <w:p/>
    <w:p>
      <w:pPr>
        <w:pStyle w:val="Heading2"/>
      </w:pPr>
      <w:r>
        <w:rPr>
          <w:color w:val="2E75B6"/>
          <w:sz w:val="30"/>
        </w:rPr>
        <w:t>4. Figures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7_feature_group_analys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1 — Feature group analysis: distribution of top-200 selected features across Classical and Deep modalities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71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7_confusion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2 — Confusion matrix on the test set (10,553 samples, 6 classes)</w:t>
      </w:r>
    </w:p>
    <w:p/>
    <w:p>
      <w:pPr>
        <w:pStyle w:val="Heading2"/>
      </w:pPr>
      <w:r>
        <w:rPr>
          <w:color w:val="2E75B6"/>
          <w:sz w:val="30"/>
        </w:rPr>
        <w:t>5. Insights &amp; Discussion</w:t>
      </w:r>
    </w:p>
    <w:p>
      <w:pPr>
        <w:pStyle w:val="ListBullet"/>
      </w:pPr>
      <w:r>
        <w:t>E7 achieves 80.4% accuracy and Macro-F1 = 0.708, which is above the classical-only baseline (E2: 0.648) but below the deep-only SVM baseline (E3: 0.785).</w:t>
      </w:r>
    </w:p>
    <w:p>
      <w:pPr>
        <w:pStyle w:val="ListBullet"/>
      </w:pPr>
      <w:r>
        <w:t>The RF selector chose 102 classical and 98 deep features — a near-even split, confirming both modalities carry complementary information.</w:t>
      </w:r>
    </w:p>
    <w:p>
      <w:pPr>
        <w:pStyle w:val="ListBullet"/>
      </w:pPr>
      <w:r>
        <w:t>BIODEGRADABLE achieves near-perfect recall (0.995) due to its dominant class frequency; minority classes (GLASS, PLASTIC) remain challenging (F1 ≈ 0.61–0.63).</w:t>
      </w:r>
    </w:p>
    <w:p>
      <w:pPr>
        <w:pStyle w:val="ListBullet"/>
      </w:pPr>
      <w:r>
        <w:t>Reducing from 1,532 to 200 dimensions (87% compression) incurs only a moderate performance penalty, making E7 attractive for resource-constrained deployments.</w:t>
      </w:r>
    </w:p>
    <w:p>
      <w:pPr>
        <w:pStyle w:val="ListBullet"/>
      </w:pPr>
      <w:r>
        <w:t>The two-RF design is intentional: using the selector RF's predictions would leak importance-based bias into the evaluation.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E7 Feature Selection Fusion</dc:title>
  <dc:subject/>
  <dc:creator>Bayo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