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3564"/>
          <w:sz w:val="44"/>
        </w:rPr>
        <w:t>E8 — Average Voting Fusion</w:t>
      </w:r>
    </w:p>
    <w:p>
      <w:pPr>
        <w:spacing w:after="120"/>
      </w:pPr>
      <w:r>
        <w:t>Member: Bayo  ·  Date: May 2026  ·  Project: Compression-Aware Multiscale Feature Fusion for Waste Object Detection and Classification</w:t>
      </w:r>
    </w:p>
    <w:p>
      <w:pPr>
        <w:pBdr>
          <w:bottom w:val="single" w:sz="6" w:space="1" w:color="2E75B6"/>
        </w:pBdr>
      </w:pPr>
    </w:p>
    <w:p>
      <w:pPr>
        <w:pStyle w:val="Heading2"/>
      </w:pPr>
      <w:r>
        <w:rPr>
          <w:color w:val="2E75B6"/>
          <w:sz w:val="30"/>
        </w:rPr>
        <w:t>1. Overview</w:t>
      </w:r>
    </w:p>
    <w:p>
      <w:pPr>
        <w:spacing w:after="120"/>
      </w:pPr>
      <w:r>
        <w:t>Experiment E8 explores the simplest possible late-fusion strategy: averaging the class probability vectors produced by two independently-trained classifiers — the Random Forest from E2 (classical features) and the RBF SVM from E3 (deep features). No additional training is required. The hypothesis is that combining two diverse probability distributions will reduce individual model errors and improve overall Macro-F1.</w:t>
      </w:r>
    </w:p>
    <w:p>
      <w:pPr>
        <w:pStyle w:val="Heading2"/>
      </w:pPr>
      <w:r>
        <w:rPr>
          <w:color w:val="2E75B6"/>
          <w:sz w:val="30"/>
        </w:rPr>
        <w:t>2. Methodology</w:t>
      </w:r>
    </w:p>
    <w:p>
      <w:pPr>
        <w:pStyle w:val="Heading3"/>
      </w:pPr>
      <w:r>
        <w:rPr>
          <w:color w:val="1F3564"/>
          <w:sz w:val="24"/>
        </w:rPr>
        <w:t>2.1 Input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564"/>
          </w:tcPr>
          <w:p>
            <w:r>
              <w:rPr>
                <w:b/>
                <w:color w:val="FFFFFF"/>
              </w:rPr>
              <w:t>Model</w:t>
            </w:r>
          </w:p>
        </w:tc>
        <w:tc>
          <w:tcPr>
            <w:tcW w:type="dxa" w:w="2160"/>
            <w:shd w:val="clear" w:color="auto" w:fill="1F3564"/>
          </w:tcPr>
          <w:p>
            <w:r>
              <w:rPr>
                <w:b/>
                <w:color w:val="FFFFFF"/>
              </w:rPr>
              <w:t>Features</w:t>
            </w:r>
          </w:p>
        </w:tc>
        <w:tc>
          <w:tcPr>
            <w:tcW w:type="dxa" w:w="2160"/>
            <w:shd w:val="clear" w:color="auto" w:fill="1F3564"/>
          </w:tcPr>
          <w:p>
            <w:r>
              <w:rPr>
                <w:b/>
                <w:color w:val="FFFFFF"/>
              </w:rPr>
              <w:t>Dim</w:t>
            </w:r>
          </w:p>
        </w:tc>
        <w:tc>
          <w:tcPr>
            <w:tcW w:type="dxa" w:w="2160"/>
            <w:shd w:val="clear" w:color="auto" w:fill="1F3564"/>
          </w:tcPr>
          <w:p>
            <w:r>
              <w:rPr>
                <w:b/>
                <w:color w:val="FFFFFF"/>
              </w:rPr>
              <w:t>Source</w:t>
            </w:r>
          </w:p>
        </w:tc>
      </w:tr>
      <w:tr>
        <w:tc>
          <w:tcPr>
            <w:tcW w:type="dxa" w:w="2160"/>
          </w:tcPr>
          <w:p>
            <w:r>
              <w:t>Random Forest (E2)</w:t>
            </w:r>
          </w:p>
        </w:tc>
        <w:tc>
          <w:tcPr>
            <w:tcW w:type="dxa" w:w="2160"/>
          </w:tcPr>
          <w:p>
            <w:r>
              <w:t>Classical hand-crafted</w:t>
            </w:r>
          </w:p>
        </w:tc>
        <w:tc>
          <w:tcPr>
            <w:tcW w:type="dxa" w:w="2160"/>
          </w:tcPr>
          <w:p>
            <w:r>
              <w:t>252</w:t>
            </w:r>
          </w:p>
        </w:tc>
        <w:tc>
          <w:tcPr>
            <w:tcW w:type="dxa" w:w="2160"/>
          </w:tcPr>
          <w:p>
            <w:r>
              <w:t>random_forest_E2.pkl</w:t>
            </w:r>
          </w:p>
        </w:tc>
      </w:tr>
      <w:tr>
        <w:tc>
          <w:tcPr>
            <w:tcW w:type="dxa" w:w="2160"/>
          </w:tcPr>
          <w:p>
            <w:r>
              <w:t>RBF SVM (E3)</w:t>
            </w:r>
          </w:p>
        </w:tc>
        <w:tc>
          <w:tcPr>
            <w:tcW w:type="dxa" w:w="2160"/>
          </w:tcPr>
          <w:p>
            <w:r>
              <w:t>EfficientNetB0 deep</w:t>
            </w:r>
          </w:p>
        </w:tc>
        <w:tc>
          <w:tcPr>
            <w:tcW w:type="dxa" w:w="2160"/>
          </w:tcPr>
          <w:p>
            <w:r>
              <w:t>1,280</w:t>
            </w:r>
          </w:p>
        </w:tc>
        <w:tc>
          <w:tcPr>
            <w:tcW w:type="dxa" w:w="2160"/>
          </w:tcPr>
          <w:p>
            <w:r>
              <w:t>svm_E3.pkl  (dict: clf + scaler)</w:t>
            </w:r>
          </w:p>
        </w:tc>
      </w:tr>
    </w:tbl>
    <w:p/>
    <w:p>
      <w:pPr>
        <w:pStyle w:val="Heading3"/>
      </w:pPr>
      <w:r>
        <w:rPr>
          <w:color w:val="1F3564"/>
          <w:sz w:val="24"/>
        </w:rPr>
        <w:t>2.2 Fusion Formula</w:t>
      </w:r>
    </w:p>
    <w:p>
      <w:pPr>
        <w:spacing w:after="120"/>
      </w:pPr>
      <w:r>
        <w:t>For each test sample, six-class probability vectors are obtained from both models and averaged element-wise:</w:t>
      </w:r>
    </w:p>
    <w:p>
      <w:r>
        <w:rPr>
          <w:rFonts w:ascii="Courier New" w:hAnsi="Courier New"/>
          <w:sz w:val="22"/>
        </w:rPr>
        <w:t xml:space="preserve">    avg_proba = (RF_proba + SVM_proba) / 2.0</w:t>
        <w:br/>
        <w:t xml:space="preserve">    y_pred = argmax(avg_proba, axis=1)</w:t>
      </w:r>
    </w:p>
    <w:p/>
    <w:p>
      <w:pPr>
        <w:spacing w:after="120"/>
      </w:pPr>
      <w:r>
        <w:t>The SVM model is stored as a dict {'clf': SVC, 'scaler': StandardScaler}. The scaler is applied before calling clf.predict_proba() to ensure the deep features are normalised identically to training.</w:t>
      </w:r>
    </w:p>
    <w:p>
      <w:pPr>
        <w:pStyle w:val="Heading3"/>
      </w:pPr>
      <w:r>
        <w:rPr>
          <w:color w:val="1F3564"/>
          <w:sz w:val="24"/>
        </w:rPr>
        <w:t>2.3 Architecture Diagram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564"/>
          </w:tcPr>
          <w:p>
            <w:r>
              <w:rPr>
                <w:b/>
                <w:color w:val="FFFFFF"/>
              </w:rPr>
              <w:t>Input</w:t>
            </w:r>
          </w:p>
        </w:tc>
        <w:tc>
          <w:tcPr>
            <w:tcW w:type="dxa" w:w="2880"/>
            <w:shd w:val="clear" w:color="auto" w:fill="1F3564"/>
          </w:tcPr>
          <w:p>
            <w:r>
              <w:rPr>
                <w:b/>
                <w:color w:val="FFFFFF"/>
              </w:rPr>
              <w:t>Transform</w:t>
            </w:r>
          </w:p>
        </w:tc>
        <w:tc>
          <w:tcPr>
            <w:tcW w:type="dxa" w:w="2880"/>
            <w:shd w:val="clear" w:color="auto" w:fill="1F3564"/>
          </w:tcPr>
          <w:p>
            <w:r>
              <w:rPr>
                <w:b/>
                <w:color w:val="FFFFFF"/>
              </w:rPr>
              <w:t>Output</w:t>
            </w:r>
          </w:p>
        </w:tc>
      </w:tr>
      <w:tr>
        <w:tc>
          <w:tcPr>
            <w:tcW w:type="dxa" w:w="2880"/>
          </w:tcPr>
          <w:p>
            <w:r>
              <w:t>Classical features (252-dim)</w:t>
            </w:r>
          </w:p>
        </w:tc>
        <w:tc>
          <w:tcPr>
            <w:tcW w:type="dxa" w:w="2880"/>
          </w:tcPr>
          <w:p>
            <w:r>
              <w:t>→ RF.predict_proba()</w:t>
            </w:r>
          </w:p>
        </w:tc>
        <w:tc>
          <w:tcPr>
            <w:tcW w:type="dxa" w:w="2880"/>
          </w:tcPr>
          <w:p>
            <w:r>
              <w:t>RF proba (N × 6)</w:t>
            </w:r>
          </w:p>
        </w:tc>
      </w:tr>
      <w:tr>
        <w:tc>
          <w:tcPr>
            <w:tcW w:type="dxa" w:w="2880"/>
          </w:tcPr>
          <w:p>
            <w:r>
              <w:t>Deep features (1,280-dim)</w:t>
            </w:r>
          </w:p>
        </w:tc>
        <w:tc>
          <w:tcPr>
            <w:tcW w:type="dxa" w:w="2880"/>
          </w:tcPr>
          <w:p>
            <w:r>
              <w:t>→ scaler → SVM.predict_proba()</w:t>
            </w:r>
          </w:p>
        </w:tc>
        <w:tc>
          <w:tcPr>
            <w:tcW w:type="dxa" w:w="2880"/>
          </w:tcPr>
          <w:p>
            <w:r>
              <w:t>SVM proba (N × 6)</w:t>
            </w:r>
          </w:p>
        </w:tc>
      </w:tr>
      <w:tr>
        <w:tc>
          <w:tcPr>
            <w:tcW w:type="dxa" w:w="2880"/>
          </w:tcPr>
          <w:p>
            <w:r/>
          </w:p>
        </w:tc>
        <w:tc>
          <w:tcPr>
            <w:tcW w:type="dxa" w:w="2880"/>
          </w:tcPr>
          <w:p>
            <w:r>
              <w:t>→ element-wise average</w:t>
            </w:r>
          </w:p>
        </w:tc>
        <w:tc>
          <w:tcPr>
            <w:tcW w:type="dxa" w:w="2880"/>
          </w:tcPr>
          <w:p>
            <w:r>
              <w:t>avg proba (N × 6)</w:t>
            </w:r>
          </w:p>
        </w:tc>
      </w:tr>
      <w:tr>
        <w:tc>
          <w:tcPr>
            <w:tcW w:type="dxa" w:w="2880"/>
          </w:tcPr>
          <w:p>
            <w:r/>
          </w:p>
        </w:tc>
        <w:tc>
          <w:tcPr>
            <w:tcW w:type="dxa" w:w="2880"/>
          </w:tcPr>
          <w:p>
            <w:r>
              <w:t>→ argmax</w:t>
            </w:r>
          </w:p>
        </w:tc>
        <w:tc>
          <w:tcPr>
            <w:tcW w:type="dxa" w:w="2880"/>
          </w:tcPr>
          <w:p>
            <w:r>
              <w:t>Final prediction (N,)</w:t>
            </w:r>
          </w:p>
        </w:tc>
      </w:tr>
    </w:tbl>
    <w:p/>
    <w:p>
      <w:pPr>
        <w:pStyle w:val="Heading2"/>
      </w:pPr>
      <w:r>
        <w:rPr>
          <w:color w:val="2E75B6"/>
          <w:sz w:val="30"/>
        </w:rPr>
        <w:t>3. Results</w:t>
      </w:r>
    </w:p>
    <w:p>
      <w:pPr>
        <w:pStyle w:val="Heading3"/>
      </w:pPr>
      <w:r>
        <w:rPr>
          <w:color w:val="1F3564"/>
          <w:sz w:val="24"/>
        </w:rPr>
        <w:t>3.1 Overall Metrics</w:t>
      </w:r>
    </w:p>
    <w:tbl>
      <w:tblPr>
        <w:tblStyle w:val="TableGrid"/>
        <w:tblW w:type="auto" w:w="0"/>
        <w:tblLook w:firstColumn="1" w:firstRow="1" w:lastColumn="0" w:lastRow="0" w:noHBand="0" w:noVBand="1" w:val="04A0"/>
      </w:tblPr>
      <w:tblGrid>
        <w:gridCol w:w="4320"/>
        <w:gridCol w:w="4320"/>
      </w:tblGrid>
      <w:tr>
        <w:tc>
          <w:tcPr>
            <w:tcW w:type="dxa" w:w="4320"/>
            <w:shd w:val="clear" w:color="auto" w:fill="1F3564"/>
          </w:tcPr>
          <w:p>
            <w:r>
              <w:rPr>
                <w:b/>
                <w:color w:val="FFFFFF"/>
              </w:rPr>
              <w:t>Metric</w:t>
            </w:r>
          </w:p>
        </w:tc>
        <w:tc>
          <w:tcPr>
            <w:tcW w:type="dxa" w:w="4320"/>
            <w:shd w:val="clear" w:color="auto" w:fill="1F3564"/>
          </w:tcPr>
          <w:p>
            <w:r>
              <w:rPr>
                <w:b/>
                <w:color w:val="FFFFFF"/>
              </w:rPr>
              <w:t>Value</w:t>
            </w:r>
          </w:p>
        </w:tc>
      </w:tr>
      <w:tr>
        <w:tc>
          <w:tcPr>
            <w:tcW w:type="dxa" w:w="4320"/>
          </w:tcPr>
          <w:p>
            <w:r>
              <w:t>Accuracy</w:t>
            </w:r>
          </w:p>
        </w:tc>
        <w:tc>
          <w:tcPr>
            <w:tcW w:type="dxa" w:w="4320"/>
          </w:tcPr>
          <w:p>
            <w:r>
              <w:t>84.84%</w:t>
            </w:r>
          </w:p>
        </w:tc>
      </w:tr>
      <w:tr>
        <w:tc>
          <w:tcPr>
            <w:tcW w:type="dxa" w:w="4320"/>
          </w:tcPr>
          <w:p>
            <w:r>
              <w:t>Macro-F1</w:t>
            </w:r>
          </w:p>
        </w:tc>
        <w:tc>
          <w:tcPr>
            <w:tcW w:type="dxa" w:w="4320"/>
          </w:tcPr>
          <w:p>
            <w:r>
              <w:t>0.7820</w:t>
            </w:r>
          </w:p>
        </w:tc>
      </w:tr>
      <w:tr>
        <w:tc>
          <w:tcPr>
            <w:tcW w:type="dxa" w:w="4320"/>
          </w:tcPr>
          <w:p>
            <w:r>
              <w:t>Weighted-F1</w:t>
            </w:r>
          </w:p>
        </w:tc>
        <w:tc>
          <w:tcPr>
            <w:tcW w:type="dxa" w:w="4320"/>
          </w:tcPr>
          <w:p>
            <w:r>
              <w:t>0.8390</w:t>
            </w:r>
          </w:p>
        </w:tc>
      </w:tr>
      <w:tr>
        <w:tc>
          <w:tcPr>
            <w:tcW w:type="dxa" w:w="4320"/>
          </w:tcPr>
          <w:p>
            <w:r>
              <w:t>Balanced Accuracy</w:t>
            </w:r>
          </w:p>
        </w:tc>
        <w:tc>
          <w:tcPr>
            <w:tcW w:type="dxa" w:w="4320"/>
          </w:tcPr>
          <w:p>
            <w:r>
              <w:t>0.7374</w:t>
            </w:r>
          </w:p>
        </w:tc>
      </w:tr>
      <w:tr>
        <w:tc>
          <w:tcPr>
            <w:tcW w:type="dxa" w:w="4320"/>
          </w:tcPr>
          <w:p>
            <w:r>
              <w:t>AUC-ROC (macro)</w:t>
            </w:r>
          </w:p>
        </w:tc>
        <w:tc>
          <w:tcPr>
            <w:tcW w:type="dxa" w:w="4320"/>
          </w:tcPr>
          <w:p>
            <w:r>
              <w:t>0.9457</w:t>
            </w:r>
          </w:p>
        </w:tc>
      </w:tr>
      <w:tr>
        <w:tc>
          <w:tcPr>
            <w:tcW w:type="dxa" w:w="4320"/>
          </w:tcPr>
          <w:p>
            <w:r>
              <w:t>Training required</w:t>
            </w:r>
          </w:p>
        </w:tc>
        <w:tc>
          <w:tcPr>
            <w:tcW w:type="dxa" w:w="4320"/>
          </w:tcPr>
          <w:p>
            <w:r>
              <w:t>None (inference only)</w:t>
            </w:r>
          </w:p>
        </w:tc>
      </w:tr>
    </w:tbl>
    <w:p/>
    <w:p>
      <w:pPr>
        <w:pStyle w:val="Heading3"/>
      </w:pPr>
      <w:r>
        <w:rPr>
          <w:color w:val="1F3564"/>
          <w:sz w:val="24"/>
        </w:rPr>
        <w:t>3.2 Per-Class F1 Scores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564"/>
          </w:tcPr>
          <w:p>
            <w:r>
              <w:rPr>
                <w:b/>
                <w:color w:val="FFFFFF"/>
              </w:rPr>
              <w:t>Class</w:t>
            </w:r>
          </w:p>
        </w:tc>
        <w:tc>
          <w:tcPr>
            <w:tcW w:type="dxa" w:w="2160"/>
            <w:shd w:val="clear" w:color="auto" w:fill="1F3564"/>
          </w:tcPr>
          <w:p>
            <w:r>
              <w:rPr>
                <w:b/>
                <w:color w:val="FFFFFF"/>
              </w:rPr>
              <w:t>F1</w:t>
            </w:r>
          </w:p>
        </w:tc>
        <w:tc>
          <w:tcPr>
            <w:tcW w:type="dxa" w:w="2160"/>
            <w:shd w:val="clear" w:color="auto" w:fill="1F3564"/>
          </w:tcPr>
          <w:p>
            <w:r>
              <w:rPr>
                <w:b/>
                <w:color w:val="FFFFFF"/>
              </w:rPr>
              <w:t>Precision</w:t>
            </w:r>
          </w:p>
        </w:tc>
        <w:tc>
          <w:tcPr>
            <w:tcW w:type="dxa" w:w="2160"/>
            <w:shd w:val="clear" w:color="auto" w:fill="1F3564"/>
          </w:tcPr>
          <w:p>
            <w:r>
              <w:rPr>
                <w:b/>
                <w:color w:val="FFFFFF"/>
              </w:rPr>
              <w:t>Recall</w:t>
            </w:r>
          </w:p>
        </w:tc>
      </w:tr>
      <w:tr>
        <w:tc>
          <w:tcPr>
            <w:tcW w:type="dxa" w:w="2160"/>
          </w:tcPr>
          <w:p>
            <w:r>
              <w:t>BIODEGRADABLE</w:t>
            </w:r>
          </w:p>
        </w:tc>
        <w:tc>
          <w:tcPr>
            <w:tcW w:type="dxa" w:w="2160"/>
          </w:tcPr>
          <w:p>
            <w:r>
              <w:t>0.9131</w:t>
            </w:r>
          </w:p>
        </w:tc>
        <w:tc>
          <w:tcPr>
            <w:tcW w:type="dxa" w:w="2160"/>
          </w:tcPr>
          <w:p>
            <w:r>
              <w:t>0.8459</w:t>
            </w:r>
          </w:p>
        </w:tc>
        <w:tc>
          <w:tcPr>
            <w:tcW w:type="dxa" w:w="2160"/>
          </w:tcPr>
          <w:p>
            <w:r>
              <w:t>0.9918</w:t>
            </w:r>
          </w:p>
        </w:tc>
      </w:tr>
      <w:tr>
        <w:tc>
          <w:tcPr>
            <w:tcW w:type="dxa" w:w="2160"/>
          </w:tcPr>
          <w:p>
            <w:r>
              <w:t>CARDBOARD</w:t>
            </w:r>
          </w:p>
        </w:tc>
        <w:tc>
          <w:tcPr>
            <w:tcW w:type="dxa" w:w="2160"/>
          </w:tcPr>
          <w:p>
            <w:r>
              <w:t>0.8861</w:t>
            </w:r>
          </w:p>
        </w:tc>
        <w:tc>
          <w:tcPr>
            <w:tcW w:type="dxa" w:w="2160"/>
          </w:tcPr>
          <w:p>
            <w:r>
              <w:t>0.8954</w:t>
            </w:r>
          </w:p>
        </w:tc>
        <w:tc>
          <w:tcPr>
            <w:tcW w:type="dxa" w:w="2160"/>
          </w:tcPr>
          <w:p>
            <w:r>
              <w:t>0.8770</w:t>
            </w:r>
          </w:p>
        </w:tc>
      </w:tr>
      <w:tr>
        <w:tc>
          <w:tcPr>
            <w:tcW w:type="dxa" w:w="2160"/>
          </w:tcPr>
          <w:p>
            <w:r>
              <w:t>GLASS</w:t>
            </w:r>
          </w:p>
        </w:tc>
        <w:tc>
          <w:tcPr>
            <w:tcW w:type="dxa" w:w="2160"/>
          </w:tcPr>
          <w:p>
            <w:r>
              <w:t>0.7140</w:t>
            </w:r>
          </w:p>
        </w:tc>
        <w:tc>
          <w:tcPr>
            <w:tcW w:type="dxa" w:w="2160"/>
          </w:tcPr>
          <w:p>
            <w:r>
              <w:t>0.9060</w:t>
            </w:r>
          </w:p>
        </w:tc>
        <w:tc>
          <w:tcPr>
            <w:tcW w:type="dxa" w:w="2160"/>
          </w:tcPr>
          <w:p>
            <w:r>
              <w:t>0.5891</w:t>
            </w:r>
          </w:p>
        </w:tc>
      </w:tr>
      <w:tr>
        <w:tc>
          <w:tcPr>
            <w:tcW w:type="dxa" w:w="2160"/>
          </w:tcPr>
          <w:p>
            <w:r>
              <w:t>METAL</w:t>
            </w:r>
          </w:p>
        </w:tc>
        <w:tc>
          <w:tcPr>
            <w:tcW w:type="dxa" w:w="2160"/>
          </w:tcPr>
          <w:p>
            <w:r>
              <w:t>0.7590</w:t>
            </w:r>
          </w:p>
        </w:tc>
        <w:tc>
          <w:tcPr>
            <w:tcW w:type="dxa" w:w="2160"/>
          </w:tcPr>
          <w:p>
            <w:r>
              <w:t>0.7856</w:t>
            </w:r>
          </w:p>
        </w:tc>
        <w:tc>
          <w:tcPr>
            <w:tcW w:type="dxa" w:w="2160"/>
          </w:tcPr>
          <w:p>
            <w:r>
              <w:t>0.7342</w:t>
            </w:r>
          </w:p>
        </w:tc>
      </w:tr>
      <w:tr>
        <w:tc>
          <w:tcPr>
            <w:tcW w:type="dxa" w:w="2160"/>
          </w:tcPr>
          <w:p>
            <w:r>
              <w:t>PAPER</w:t>
            </w:r>
          </w:p>
        </w:tc>
        <w:tc>
          <w:tcPr>
            <w:tcW w:type="dxa" w:w="2160"/>
          </w:tcPr>
          <w:p>
            <w:r>
              <w:t>0.7196</w:t>
            </w:r>
          </w:p>
        </w:tc>
        <w:tc>
          <w:tcPr>
            <w:tcW w:type="dxa" w:w="2160"/>
          </w:tcPr>
          <w:p>
            <w:r>
              <w:t>0.8724</w:t>
            </w:r>
          </w:p>
        </w:tc>
        <w:tc>
          <w:tcPr>
            <w:tcW w:type="dxa" w:w="2160"/>
          </w:tcPr>
          <w:p>
            <w:r>
              <w:t>0.6123</w:t>
            </w:r>
          </w:p>
        </w:tc>
      </w:tr>
      <w:tr>
        <w:tc>
          <w:tcPr>
            <w:tcW w:type="dxa" w:w="2160"/>
          </w:tcPr>
          <w:p>
            <w:r>
              <w:t>PLASTIC</w:t>
            </w:r>
          </w:p>
        </w:tc>
        <w:tc>
          <w:tcPr>
            <w:tcW w:type="dxa" w:w="2160"/>
          </w:tcPr>
          <w:p>
            <w:r>
              <w:t>0.7000</w:t>
            </w:r>
          </w:p>
        </w:tc>
        <w:tc>
          <w:tcPr>
            <w:tcW w:type="dxa" w:w="2160"/>
          </w:tcPr>
          <w:p>
            <w:r>
              <w:t>0.8035</w:t>
            </w:r>
          </w:p>
        </w:tc>
        <w:tc>
          <w:tcPr>
            <w:tcW w:type="dxa" w:w="2160"/>
          </w:tcPr>
          <w:p>
            <w:r>
              <w:t>0.6201</w:t>
            </w:r>
          </w:p>
        </w:tc>
      </w:tr>
    </w:tbl>
    <w:p/>
    <w:p>
      <w:pPr>
        <w:pStyle w:val="Heading3"/>
      </w:pPr>
      <w:r>
        <w:rPr>
          <w:color w:val="1F3564"/>
          <w:sz w:val="24"/>
        </w:rPr>
        <w:t>3.3 Comparison vs. Individual Baselines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564"/>
          </w:tcPr>
          <w:p>
            <w:r>
              <w:rPr>
                <w:b/>
                <w:color w:val="FFFFFF"/>
              </w:rPr>
              <w:t>Experiment</w:t>
            </w:r>
          </w:p>
        </w:tc>
        <w:tc>
          <w:tcPr>
            <w:tcW w:type="dxa" w:w="2880"/>
            <w:shd w:val="clear" w:color="auto" w:fill="1F3564"/>
          </w:tcPr>
          <w:p>
            <w:r>
              <w:rPr>
                <w:b/>
                <w:color w:val="FFFFFF"/>
              </w:rPr>
              <w:t>Accuracy</w:t>
            </w:r>
          </w:p>
        </w:tc>
        <w:tc>
          <w:tcPr>
            <w:tcW w:type="dxa" w:w="2880"/>
            <w:shd w:val="clear" w:color="auto" w:fill="1F3564"/>
          </w:tcPr>
          <w:p>
            <w:r>
              <w:rPr>
                <w:b/>
                <w:color w:val="FFFFFF"/>
              </w:rPr>
              <w:t>Macro-F1</w:t>
            </w:r>
          </w:p>
        </w:tc>
      </w:tr>
      <w:tr>
        <w:tc>
          <w:tcPr>
            <w:tcW w:type="dxa" w:w="2880"/>
          </w:tcPr>
          <w:p>
            <w:r>
              <w:t>E2 — RF (Classical only)</w:t>
            </w:r>
          </w:p>
        </w:tc>
        <w:tc>
          <w:tcPr>
            <w:tcW w:type="dxa" w:w="2880"/>
          </w:tcPr>
          <w:p>
            <w:r>
              <w:t>77.40%</w:t>
            </w:r>
          </w:p>
        </w:tc>
        <w:tc>
          <w:tcPr>
            <w:tcW w:type="dxa" w:w="2880"/>
          </w:tcPr>
          <w:p>
            <w:r>
              <w:t>0.6476</w:t>
            </w:r>
          </w:p>
        </w:tc>
      </w:tr>
      <w:tr>
        <w:tc>
          <w:tcPr>
            <w:tcW w:type="dxa" w:w="2880"/>
          </w:tcPr>
          <w:p>
            <w:r>
              <w:t>E3 — SVM (Deep only)</w:t>
            </w:r>
          </w:p>
        </w:tc>
        <w:tc>
          <w:tcPr>
            <w:tcW w:type="dxa" w:w="2880"/>
          </w:tcPr>
          <w:p>
            <w:r>
              <w:t>85.22%</w:t>
            </w:r>
          </w:p>
        </w:tc>
        <w:tc>
          <w:tcPr>
            <w:tcW w:type="dxa" w:w="2880"/>
          </w:tcPr>
          <w:p>
            <w:r>
              <w:t>0.7848</w:t>
            </w:r>
          </w:p>
        </w:tc>
      </w:tr>
      <w:tr>
        <w:tc>
          <w:tcPr>
            <w:tcW w:type="dxa" w:w="2880"/>
          </w:tcPr>
          <w:p>
            <w:r>
              <w:t>E8 — Average Voting</w:t>
            </w:r>
          </w:p>
        </w:tc>
        <w:tc>
          <w:tcPr>
            <w:tcW w:type="dxa" w:w="2880"/>
          </w:tcPr>
          <w:p>
            <w:r>
              <w:t>84.84%</w:t>
            </w:r>
          </w:p>
        </w:tc>
        <w:tc>
          <w:tcPr>
            <w:tcW w:type="dxa" w:w="2880"/>
          </w:tcPr>
          <w:p>
            <w:r>
              <w:t>0.7820</w:t>
            </w:r>
          </w:p>
        </w:tc>
      </w:tr>
    </w:tbl>
    <w:p/>
    <w:p>
      <w:pPr>
        <w:pStyle w:val="Heading2"/>
      </w:pPr>
      <w:r>
        <w:rPr>
          <w:color w:val="2E75B6"/>
          <w:sz w:val="30"/>
        </w:rPr>
        <w:t>4. Figures</w:t>
      </w:r>
    </w:p>
    <w:p>
      <w:pPr>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E8_confusion_matrix.png"/>
                    <pic:cNvPicPr/>
                  </pic:nvPicPr>
                  <pic:blipFill>
                    <a:blip r:embed="rId9"/>
                    <a:stretch>
                      <a:fillRect/>
                    </a:stretch>
                  </pic:blipFill>
                  <pic:spPr>
                    <a:xfrm>
                      <a:off x="0" y="0"/>
                      <a:ext cx="5029200" cy="3771900"/>
                    </a:xfrm>
                    <a:prstGeom prst="rect"/>
                  </pic:spPr>
                </pic:pic>
              </a:graphicData>
            </a:graphic>
          </wp:inline>
        </w:drawing>
      </w:r>
    </w:p>
    <w:p>
      <w:pPr>
        <w:jc w:val="center"/>
      </w:pPr>
      <w:r>
        <w:rPr>
          <w:i/>
          <w:sz w:val="20"/>
        </w:rPr>
        <w:t>Figure 1 — Confusion matrix for E8 Average Voting on the test set (10,553 samples)</w:t>
      </w:r>
    </w:p>
    <w:p/>
    <w:p>
      <w:pPr>
        <w:pStyle w:val="Heading2"/>
      </w:pPr>
      <w:r>
        <w:rPr>
          <w:color w:val="2E75B6"/>
          <w:sz w:val="30"/>
        </w:rPr>
        <w:t>5. Insights &amp; Discussion</w:t>
      </w:r>
    </w:p>
    <w:p>
      <w:pPr>
        <w:pStyle w:val="ListBullet"/>
      </w:pPr>
      <w:r>
        <w:t>E8 achieves Macro-F1 = 0.782, nearly matching the strong SVM-only baseline (E3: 0.785) without any additional training.</w:t>
      </w:r>
    </w:p>
    <w:p>
      <w:pPr>
        <w:pStyle w:val="ListBullet"/>
      </w:pPr>
      <w:r>
        <w:t>The RF contributes most on BIODEGRADABLE (dominant class); the SVM contributes most on minority classes (GLASS, PLASTIC) due to its kernel-based decision boundary.</w:t>
      </w:r>
    </w:p>
    <w:p>
      <w:pPr>
        <w:pStyle w:val="ListBullet"/>
      </w:pPr>
      <w:r>
        <w:t>Average voting is a zero-cost ensemble: it requires only the two pre-trained models and a single forward pass per model at inference time.</w:t>
      </w:r>
    </w:p>
    <w:p>
      <w:pPr>
        <w:pStyle w:val="ListBullet"/>
      </w:pPr>
      <w:r>
        <w:t>The main risk is that both models share the same errors on hard samples — E9 weighted voting attempts to mitigate this by amplifying the stronger model.</w:t>
      </w:r>
    </w:p>
    <w:p>
      <w:pPr>
        <w:pStyle w:val="ListBullet"/>
      </w:pPr>
      <w:r>
        <w:t>AUC-ROC (0.946) is substantially higher than either individual model, confirming complementarity of the two probability distributions.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E8 Average Voting Fusion</dc:title>
  <dc:subject/>
  <dc:creator>Bayo</dc:creator>
  <cp:keywords/>
  <dc:description>generated by python-docx</dc:description>
  <cp:lastModifiedBy/>
  <cp:revision>1</cp:revision>
  <dcterms:created xsi:type="dcterms:W3CDTF">2013-12-23T23:15:00Z</dcterms:created>
  <dcterms:modified xsi:type="dcterms:W3CDTF">2013-12-23T23:15:00Z</dcterms:modified>
  <cp:category/>
</cp:coreProperties>
</file>