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jc w:val="center"/>
      </w:pPr>
      <w:r>
        <w:rPr>
          <w:rFonts w:ascii="Arial" w:cs="Arial" w:eastAsia="Arial" w:hAnsi="Arial"/>
          <w:b/>
          <w:bCs/>
          <w:color w:val="1F3864"/>
          <w:sz w:val="40"/>
          <w:szCs w:val="40"/>
        </w:rPr>
        <w:t xml:space="preserve">Deep Reinforcement Learning for Autonomous Snake Gameplay</w:t>
      </w:r>
    </w:p>
    <w:p>
      <w:pPr>
        <w:spacing w:after="480"/>
        <w:jc w:val="center"/>
      </w:pPr>
      <w:r>
        <w:rPr>
          <w:rFonts w:ascii="Arial" w:cs="Arial" w:eastAsia="Arial" w:hAnsi="Arial"/>
          <w:i/>
          <w:iCs/>
          <w:color w:val="2E5E8C"/>
          <w:sz w:val="26"/>
          <w:szCs w:val="26"/>
        </w:rPr>
        <w:t xml:space="preserve">A Dual-Input Convolutional DQN Architecture with Late Fusion of Spatial and Logical State</w:t>
      </w:r>
    </w:p>
    <w:p>
      <w:pPr>
        <w:spacing w:after="60"/>
        <w:jc w:val="center"/>
      </w:pPr>
      <w:r>
        <w:rPr>
          <w:rFonts w:ascii="Arial" w:cs="Arial" w:eastAsia="Arial" w:hAnsi="Arial"/>
          <w:sz w:val="22"/>
          <w:szCs w:val="22"/>
        </w:rPr>
        <w:t xml:space="preserve">Technical Implementation Report</w:t>
      </w:r>
    </w:p>
    <w:p>
      <w:pPr>
        <w:spacing w:after="600"/>
      </w:pPr>
    </w:p>
    <w:p>
      <w:pPr>
        <w:spacing w:after="40"/>
        <w:jc w:val="center"/>
      </w:pPr>
      <w:r>
        <w:rPr>
          <w:rFonts w:ascii="Arial" w:cs="Arial" w:eastAsia="Arial" w:hAnsi="Arial"/>
          <w:b/>
          <w:bCs/>
          <w:sz w:val="22"/>
          <w:szCs w:val="22"/>
        </w:rPr>
        <w:t xml:space="preserve">Nadav Izhaki — 329087852</w:t>
      </w:r>
    </w:p>
    <w:p>
      <w:pPr>
        <w:spacing w:after="280"/>
        <w:jc w:val="center"/>
      </w:pPr>
      <w:r>
        <w:rPr>
          <w:rFonts w:ascii="Arial" w:cs="Arial" w:eastAsia="Arial" w:hAnsi="Arial"/>
          <w:b/>
          <w:bCs/>
          <w:sz w:val="22"/>
          <w:szCs w:val="22"/>
        </w:rPr>
        <w:t xml:space="preserve">Lior Yanwo — 207918103</w:t>
      </w:r>
    </w:p>
    <w:p>
      <w:pPr>
        <w:spacing w:after="40"/>
        <w:jc w:val="center"/>
      </w:pPr>
      <w:r>
        <w:rPr>
          <w:rFonts w:ascii="Arial" w:cs="Arial" w:eastAsia="Arial" w:hAnsi="Arial"/>
          <w:sz w:val="21"/>
          <w:szCs w:val="21"/>
        </w:rPr>
        <w:t xml:space="preserve">Department of Computer Science, Holon Institute of Technology (HIT)</w:t>
      </w:r>
    </w:p>
    <w:p>
      <w:pPr>
        <w:spacing w:after="40"/>
        <w:jc w:val="center"/>
      </w:pPr>
      <w:r>
        <w:rPr>
          <w:rFonts w:ascii="Arial" w:cs="Arial" w:eastAsia="Arial" w:hAnsi="Arial"/>
          <w:sz w:val="21"/>
          <w:szCs w:val="21"/>
        </w:rPr>
        <w:t xml:space="preserve">Course: Deep Learning</w:t>
      </w:r>
    </w:p>
    <w:p>
      <w:pPr>
        <w:spacing w:after="40"/>
        <w:jc w:val="center"/>
      </w:pPr>
      <w:r>
        <w:rPr>
          <w:rFonts w:ascii="Arial" w:cs="Arial" w:eastAsia="Arial" w:hAnsi="Arial"/>
          <w:sz w:val="21"/>
          <w:szCs w:val="21"/>
        </w:rPr>
        <w:t xml:space="preserve">Repository: </w:t>
      </w:r>
      <w:hyperlink w:history="1" r:id="rIdd0lz-81mpdlquzzb2r1y3">
        <w:r>
          <w:rPr>
            <w:rStyle w:val="Hyperlink"/>
            <w:rFonts w:ascii="Arial" w:cs="Arial" w:eastAsia="Arial" w:hAnsi="Arial"/>
            <w:sz w:val="21"/>
            <w:szCs w:val="21"/>
          </w:rPr>
          <w:t xml:space="preserve">github.com/nadav0912/RF-Snake-game</w:t>
        </w:r>
      </w:hyperlink>
    </w:p>
    <w:p>
      <w:pPr>
        <w:spacing w:after="600"/>
        <w:jc w:val="center"/>
      </w:pPr>
      <w:r>
        <w:rPr>
          <w:rFonts w:ascii="Arial" w:cs="Arial" w:eastAsia="Arial" w:hAnsi="Arial"/>
          <w:sz w:val="21"/>
          <w:szCs w:val="21"/>
        </w:rPr>
        <w:t xml:space="preserve">01.07.2026</w:t>
      </w:r>
    </w:p>
    <w:p>
      <w:r>
        <w:br w:type="page"/>
      </w:r>
    </w:p>
    <w:p>
      <w:pPr>
        <w:pStyle w:val="Heading1"/>
        <w:spacing w:after="200" w:before="360"/>
      </w:pPr>
      <w:r>
        <w:rPr>
          <w:rFonts w:ascii="Arial" w:cs="Arial" w:eastAsia="Arial" w:hAnsi="Arial"/>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rPr>
        <w:t xml:space="preserve">1. Executive Summary</w:t>
      </w:r>
    </w:p>
    <w:p>
      <w:pPr>
        <w:spacing w:after="160" w:line="300" w:lineRule="auto"/>
        <w:jc w:val="both"/>
      </w:pPr>
      <w:r>
        <w:rPr>
          <w:rFonts w:ascii="Arial" w:cs="Arial" w:eastAsia="Arial" w:hAnsi="Arial"/>
          <w:sz w:val="22"/>
          <w:szCs w:val="22"/>
        </w:rPr>
        <w:t xml:space="preserve">This report documents the implementation of an autonomous agent that learns to play Snake through Deep Q-Learning (DQN). Unlike a conventional single-input DQN, the agent processes two parallel state representations — a three-channel spatial tensor encoding the board as an image, and a twelve-element logical feature vector encoding immediate reflexive signals — which are fused inside a convolutional network shortly before the output layer (“Late Fusion”). The current implementation, found in src/agent.py, src/model.py and src/game.py, supersedes an earlier 11-parameter linear DQN baseline that is preserved only as historical and motivational context in the project's README and recorded training curves; no source code for that baseline remains in the repository.</w:t>
      </w:r>
    </w:p>
    <w:p>
      <w:pPr>
        <w:spacing w:after="160" w:line="300" w:lineRule="auto"/>
        <w:jc w:val="both"/>
      </w:pPr>
      <w:r>
        <w:rPr>
          <w:rFonts w:ascii="Arial" w:cs="Arial" w:eastAsia="Arial" w:hAnsi="Arial"/>
          <w:sz w:val="22"/>
          <w:szCs w:val="22"/>
        </w:rPr>
        <w:t xml:space="preserve">The report traces every architectural and algorithmic decision back to the corresponding source file, quantifies the resulting network (a 29.9-million-parameter model overwhelmingly dominated by its fully connected compression stage), and analyzes the training dynamics recorded in the repository's saved dashboards. The final configuration reaches a 50-episode moving average score of approximately 33.3 and peak episode scores above 80 after roughly 5,900 training episodes, compared to a moving average of approximately 19.7 and a peak of 50 for the historical baseline. Beyond reporting these outcomes, the report discusses engineering trade-offs that are visible directly in the code — the parameter budget of the network, the masked action space, the hybrid online/replay training scheme, the reward-shaping asymmetry, and several reproducibility gaps — with the explicit goal of explaining not only what the system does, but why it was built this way and what the consequences of each choice appear to be.</w:t>
      </w:r>
    </w:p>
    <w:p>
      <w:pPr>
        <w:pStyle w:val="Heading1"/>
        <w:spacing w:after="200" w:before="360"/>
      </w:pPr>
      <w:r>
        <w:rPr>
          <w:rFonts w:ascii="Arial" w:cs="Arial" w:eastAsia="Arial" w:hAnsi="Arial"/>
        </w:rPr>
        <w:t xml:space="preserve">2. System Overview</w:t>
      </w:r>
    </w:p>
    <w:p>
      <w:pPr>
        <w:spacing w:after="160" w:line="300" w:lineRule="auto"/>
        <w:jc w:val="both"/>
      </w:pPr>
      <w:r>
        <w:rPr>
          <w:rFonts w:ascii="Arial" w:cs="Arial" w:eastAsia="Arial" w:hAnsi="Arial"/>
          <w:sz w:val="22"/>
          <w:szCs w:val="22"/>
        </w:rPr>
        <w:t xml:space="preserve">The project is organized as a small, self-contained Python package with a clear separation between the simulation environment, the learning agent, the neural network, and visualization utilities. Table 1 summarizes the role of each source file as implemented in the src/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2"/>
              <w:left w:val="single" w:color="BFBFBF" w:sz="2"/>
              <w:bottom w:val="single" w:color="BFBFBF" w:sz="2"/>
              <w:right w:val="single" w:color="BFBFBF" w:sz="2"/>
            </w:tcBorders>
            <w:shd w:fill="2E5E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6960"/>
            <w:tcBorders>
              <w:top w:val="single" w:color="BFBFBF" w:sz="2"/>
              <w:left w:val="single" w:color="BFBFBF" w:sz="2"/>
              <w:bottom w:val="single" w:color="BFBFBF" w:sz="2"/>
              <w:right w:val="single" w:color="BFBFBF" w:sz="2"/>
            </w:tcBorders>
            <w:shd w:fill="2E5E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r>
      <w:tr>
        <w:tc>
          <w:tcPr>
            <w:tcW w:type="dxa" w:w="24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game.py</w:t>
            </w:r>
          </w:p>
        </w:tc>
        <w:tc>
          <w:tcPr>
            <w:tcW w:type="dxa" w:w="696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Implements the SnakeGameAi environment: board state, movement physics, collision detection, reward computation, and the Pygame rendering loop.</w:t>
            </w:r>
          </w:p>
        </w:tc>
      </w:tr>
      <w:tr>
        <w:tc>
          <w:tcPr>
            <w:tcW w:type="dxa" w:w="24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agent.py</w:t>
            </w:r>
          </w:p>
        </w:tc>
        <w:tc>
          <w:tcPr>
            <w:tcW w:type="dxa" w:w="696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Builds the dual state representation, owns the replay memory, implements the epsilon-greedy policy with action masking, and contains the main training loop (train()).</w:t>
            </w:r>
          </w:p>
        </w:tc>
      </w:tr>
      <w:tr>
        <w:tc>
          <w:tcPr>
            <w:tcW w:type="dxa" w:w="24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model.py</w:t>
            </w:r>
          </w:p>
        </w:tc>
        <w:tc>
          <w:tcPr>
            <w:tcW w:type="dxa" w:w="696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Defines the Conv_QNet network and the QTrainer class, which implements the temporal-difference loss computation and the optimizer step.</w:t>
            </w:r>
          </w:p>
        </w:tc>
      </w:tr>
      <w:tr>
        <w:tc>
          <w:tcPr>
            <w:tcW w:type="dxa" w:w="24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helper.py</w:t>
            </w:r>
          </w:p>
        </w:tc>
        <w:tc>
          <w:tcPr>
            <w:tcW w:type="dxa" w:w="696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Maintains a live Matplotlib dashboard (score, moving average, and replay loss) updated after every episode.</w:t>
            </w:r>
          </w:p>
        </w:tc>
      </w:tr>
    </w:tbl>
    <w:p>
      <w:pPr>
        <w:spacing w:after="280"/>
        <w:jc w:val="center"/>
      </w:pPr>
      <w:r>
        <w:rPr>
          <w:rFonts w:ascii="Arial" w:cs="Arial" w:eastAsia="Arial" w:hAnsi="Arial"/>
          <w:i/>
          <w:iCs/>
          <w:color w:val="555555"/>
          <w:sz w:val="19"/>
          <w:szCs w:val="19"/>
        </w:rPr>
        <w:t xml:space="preserve">Table 1. Source files and their responsibilities.</w:t>
      </w:r>
    </w:p>
    <w:p>
      <w:pPr>
        <w:spacing w:after="160" w:line="300" w:lineRule="auto"/>
        <w:jc w:val="both"/>
      </w:pPr>
      <w:r>
        <w:rPr>
          <w:rFonts w:ascii="Arial" w:cs="Arial" w:eastAsia="Arial" w:hAnsi="Arial"/>
          <w:sz w:val="22"/>
          <w:szCs w:val="22"/>
        </w:rPr>
        <w:t xml:space="preserve">At a high level, the control flow implemented in agent.py's train() function is a standard agent-environment loop, extended with two non-trivial features: per-step online learning in addition to end-of-episode replay learning, and periodic target-network synchronization. Concretely, each iteration of the loop performs the following sequence of operations:</w:t>
      </w:r>
    </w:p>
    <w:p>
      <w:pPr>
        <w:pStyle w:val="ListParagraph"/>
        <w:numPr>
          <w:ilvl w:val="0"/>
          <w:numId w:val="2"/>
        </w:numPr>
        <w:spacing w:after="100" w:line="300" w:lineRule="auto"/>
      </w:pPr>
      <w:r>
        <w:rPr>
          <w:rFonts w:ascii="Arial" w:cs="Arial" w:eastAsia="Arial" w:hAnsi="Arial"/>
          <w:sz w:val="22"/>
          <w:szCs w:val="22"/>
        </w:rPr>
        <w:t xml:space="preserve">Construct the current dual state (image tensor + logical vector) by querying the live SnakeGameAi instance.</w:t>
      </w:r>
    </w:p>
    <w:p>
      <w:pPr>
        <w:pStyle w:val="ListParagraph"/>
        <w:numPr>
          <w:ilvl w:val="0"/>
          <w:numId w:val="2"/>
        </w:numPr>
        <w:spacing w:after="100" w:line="300" w:lineRule="auto"/>
      </w:pPr>
      <w:r>
        <w:rPr>
          <w:rFonts w:ascii="Arial" w:cs="Arial" w:eastAsia="Arial" w:hAnsi="Arial"/>
          <w:sz w:val="22"/>
          <w:szCs w:val="22"/>
        </w:rPr>
        <w:t xml:space="preserve">Select an action via the epsilon-greedy policy, with illegal 180° reversal moves excluded from consideration.</w:t>
      </w:r>
    </w:p>
    <w:p>
      <w:pPr>
        <w:pStyle w:val="ListParagraph"/>
        <w:numPr>
          <w:ilvl w:val="0"/>
          <w:numId w:val="2"/>
        </w:numPr>
        <w:spacing w:after="100" w:line="300" w:lineRule="auto"/>
      </w:pPr>
      <w:r>
        <w:rPr>
          <w:rFonts w:ascii="Arial" w:cs="Arial" w:eastAsia="Arial" w:hAnsi="Arial"/>
          <w:sz w:val="22"/>
          <w:szCs w:val="22"/>
        </w:rPr>
        <w:t xml:space="preserve">Advance the environment by one step and obtain the reward, the terminal flag, and the updated score.</w:t>
      </w:r>
    </w:p>
    <w:p>
      <w:pPr>
        <w:pStyle w:val="ListParagraph"/>
        <w:numPr>
          <w:ilvl w:val="0"/>
          <w:numId w:val="2"/>
        </w:numPr>
        <w:spacing w:after="100" w:line="300" w:lineRule="auto"/>
      </w:pPr>
      <w:r>
        <w:rPr>
          <w:rFonts w:ascii="Arial" w:cs="Arial" w:eastAsia="Arial" w:hAnsi="Arial"/>
          <w:sz w:val="22"/>
          <w:szCs w:val="22"/>
        </w:rPr>
        <w:t xml:space="preserve">Construct the next dual state and immediately perform a single-sample (“short memory”) gradient update.</w:t>
      </w:r>
    </w:p>
    <w:p>
      <w:pPr>
        <w:pStyle w:val="ListParagraph"/>
        <w:numPr>
          <w:ilvl w:val="0"/>
          <w:numId w:val="2"/>
        </w:numPr>
        <w:spacing w:after="100" w:line="300" w:lineRule="auto"/>
      </w:pPr>
      <w:r>
        <w:rPr>
          <w:rFonts w:ascii="Arial" w:cs="Arial" w:eastAsia="Arial" w:hAnsi="Arial"/>
          <w:sz w:val="22"/>
          <w:szCs w:val="22"/>
        </w:rPr>
        <w:t xml:space="preserve">Append the full transition tuple to a bounded replay buffer (“long memory”).</w:t>
      </w:r>
    </w:p>
    <w:p>
      <w:pPr>
        <w:pStyle w:val="ListParagraph"/>
        <w:numPr>
          <w:ilvl w:val="0"/>
          <w:numId w:val="2"/>
        </w:numPr>
        <w:spacing w:after="100" w:line="300" w:lineRule="auto"/>
      </w:pPr>
      <w:r>
        <w:rPr>
          <w:rFonts w:ascii="Arial" w:cs="Arial" w:eastAsia="Arial" w:hAnsi="Arial"/>
          <w:sz w:val="22"/>
          <w:szCs w:val="22"/>
        </w:rPr>
        <w:t xml:space="preserve">Every 1,000 cumulative environment steps, synchronize the target network's weights with the online network.</w:t>
      </w:r>
    </w:p>
    <w:p>
      <w:pPr>
        <w:pStyle w:val="ListParagraph"/>
        <w:numPr>
          <w:ilvl w:val="0"/>
          <w:numId w:val="2"/>
        </w:numPr>
        <w:spacing w:after="100" w:line="300" w:lineRule="auto"/>
      </w:pPr>
      <w:r>
        <w:rPr>
          <w:rFonts w:ascii="Arial" w:cs="Arial" w:eastAsia="Arial" w:hAnsi="Arial"/>
          <w:sz w:val="22"/>
          <w:szCs w:val="22"/>
        </w:rPr>
        <w:t xml:space="preserve">On episode termination, reset the environment, sample a batch from the replay buffer for a further gradient update, checkpoint the model if a new best score was reached, and refresh the live dashboard.</w:t>
      </w:r>
    </w:p>
    <w:p>
      <w:pPr>
        <w:spacing w:after="160" w:line="300" w:lineRule="auto"/>
        <w:jc w:val="both"/>
      </w:pPr>
      <w:r>
        <w:rPr>
          <w:rFonts w:ascii="Arial" w:cs="Arial" w:eastAsia="Arial" w:hAnsi="Arial"/>
          <w:sz w:val="22"/>
          <w:szCs w:val="22"/>
        </w:rPr>
        <w:t xml:space="preserve">The codebase depends on PyTorch for the network and optimizer, Pygame for the simulation and rendering, NumPy for state construction, and Matplotlib/IPython for live plotting. Notably, while torch is a hard runtime dependency of both agent.py and model.py, it is absent from requirements.txt (Section 7.4 discusses this gap).</w:t>
      </w:r>
    </w:p>
    <w:p>
      <w:pPr>
        <w:pStyle w:val="Heading1"/>
        <w:spacing w:after="200" w:before="360"/>
      </w:pPr>
      <w:r>
        <w:rPr>
          <w:rFonts w:ascii="Arial" w:cs="Arial" w:eastAsia="Arial" w:hAnsi="Arial"/>
        </w:rPr>
        <w:t xml:space="preserve">3. The Game Environment</w:t>
      </w:r>
    </w:p>
    <w:p>
      <w:pPr>
        <w:pStyle w:val="Heading2"/>
        <w:spacing w:after="160" w:before="280"/>
      </w:pPr>
      <w:r>
        <w:rPr>
          <w:rFonts w:ascii="Arial" w:cs="Arial" w:eastAsia="Arial" w:hAnsi="Arial"/>
        </w:rPr>
        <w:t xml:space="preserve">3.1 Board and Action Space</w:t>
      </w:r>
    </w:p>
    <w:p>
      <w:pPr>
        <w:spacing w:after="160" w:line="300" w:lineRule="auto"/>
        <w:jc w:val="both"/>
      </w:pPr>
      <w:r>
        <w:rPr>
          <w:rFonts w:ascii="Arial" w:cs="Arial" w:eastAsia="Arial" w:hAnsi="Arial"/>
          <w:sz w:val="22"/>
          <w:szCs w:val="22"/>
        </w:rPr>
        <w:t xml:space="preserve">The playing field is a 1280×960 pixel Pygame window subdivided into BLOCK_SIZE = 40-pixel cells, yielding a 32-column × 24-row grid. The action space consists of four absolute directions — Up, Right, Down, Left — encoded as one-hot vectors of length four and decoded in the _move() method. This is an explicit design choice over a relative action space (e.g. turn-left / straight / turn-right, as used by the historical baseline): an absolute encoding removes the need for the network to track the snake's current heading internally in order to interpret its own output, since each output unit has a fixed, unambiguous meaning regardless of the snake's current direction.</w:t>
      </w:r>
    </w:p>
    <w:p>
      <w:pPr>
        <w:pStyle w:val="Heading2"/>
        <w:spacing w:after="160" w:before="280"/>
      </w:pPr>
      <w:r>
        <w:rPr>
          <w:rFonts w:ascii="Arial" w:cs="Arial" w:eastAsia="Arial" w:hAnsi="Arial"/>
        </w:rPr>
        <w:t xml:space="preserve">3.2 Movement, Collision, and Termination</w:t>
      </w:r>
    </w:p>
    <w:p>
      <w:pPr>
        <w:spacing w:after="160" w:line="300" w:lineRule="auto"/>
        <w:jc w:val="both"/>
      </w:pPr>
      <w:r>
        <w:rPr>
          <w:rFonts w:ascii="Arial" w:cs="Arial" w:eastAsia="Arial" w:hAnsi="Arial"/>
          <w:sz w:val="22"/>
          <w:szCs w:val="22"/>
        </w:rPr>
        <w:t xml:space="preserve">On every step, a new head cell is computed in the chosen direction and inserted at the front of the snake's body list; the tail is popped unless the new head coincides with the food cell, in which case the snake grows by one segment and a new food cell is placed. An episode terminates under two conditions, both implemented in is_collision() and play_step(): the head leaves the playable area, or the head occupies a cell already belonging to the snake's own body. A third, time-based termination condition is also present: the episode ends if frame_iteration exceeds 768 × len(snake). Because this threshold scales with the snake's current length, a longer (and therefore harder to navigate safely) snake is automatically granted a proportionally longer time budget to find the next food item, rather than being held to a fixed step limit that would become unfairly strict as the board fills up.</w:t>
      </w:r>
    </w:p>
    <w:p>
      <w:pPr>
        <w:pStyle w:val="Heading2"/>
        <w:spacing w:after="160" w:before="280"/>
      </w:pPr>
      <w:r>
        <w:rPr>
          <w:rFonts w:ascii="Arial" w:cs="Arial" w:eastAsia="Arial" w:hAnsi="Arial"/>
        </w:rPr>
        <w:t xml:space="preserve">3.3 Reward Function</w:t>
      </w:r>
    </w:p>
    <w:p>
      <w:pPr>
        <w:spacing w:after="160" w:line="300" w:lineRule="auto"/>
        <w:jc w:val="both"/>
      </w:pPr>
      <w:r>
        <w:rPr>
          <w:rFonts w:ascii="Arial" w:cs="Arial" w:eastAsia="Arial" w:hAnsi="Arial"/>
          <w:sz w:val="22"/>
          <w:szCs w:val="22"/>
        </w:rPr>
        <w:t xml:space="preserve">The reward function combines sparse, event-based signals with a small per-step shaping term:</w:t>
      </w:r>
    </w:p>
    <w:p>
      <w:pPr>
        <w:pStyle w:val="ListParagraph"/>
        <w:numPr>
          <w:ilvl w:val="0"/>
          <w:numId w:val="2"/>
        </w:numPr>
        <w:spacing w:after="100" w:line="300" w:lineRule="auto"/>
      </w:pPr>
      <w:r>
        <w:rPr>
          <w:rFonts w:ascii="Arial" w:cs="Arial" w:eastAsia="Arial" w:hAnsi="Arial"/>
          <w:sz w:val="22"/>
          <w:szCs w:val="22"/>
        </w:rPr>
        <w:t xml:space="preserve">+10 for reaching the food cell.</w:t>
      </w:r>
    </w:p>
    <w:p>
      <w:pPr>
        <w:pStyle w:val="ListParagraph"/>
        <w:numPr>
          <w:ilvl w:val="0"/>
          <w:numId w:val="2"/>
        </w:numPr>
        <w:spacing w:after="100" w:line="300" w:lineRule="auto"/>
      </w:pPr>
      <w:r>
        <w:rPr>
          <w:rFonts w:ascii="Arial" w:cs="Arial" w:eastAsia="Arial" w:hAnsi="Arial"/>
          <w:sz w:val="22"/>
          <w:szCs w:val="22"/>
        </w:rPr>
        <w:t xml:space="preserve">−10 for any terminal event (wall collision, self-collision, or timeout).</w:t>
      </w:r>
    </w:p>
    <w:p>
      <w:pPr>
        <w:pStyle w:val="ListParagraph"/>
        <w:numPr>
          <w:ilvl w:val="0"/>
          <w:numId w:val="2"/>
        </w:numPr>
        <w:spacing w:after="100" w:line="300" w:lineRule="auto"/>
      </w:pPr>
      <w:r>
        <w:rPr>
          <w:rFonts w:ascii="Arial" w:cs="Arial" w:eastAsia="Arial" w:hAnsi="Arial"/>
          <w:sz w:val="22"/>
          <w:szCs w:val="22"/>
        </w:rPr>
        <w:t xml:space="preserve">+0.1 for any step that strictly decreases the Euclidean distance between the head and the food, relative to the previous step.</w:t>
      </w:r>
    </w:p>
    <w:p>
      <w:pPr>
        <w:pStyle w:val="ListParagraph"/>
        <w:numPr>
          <w:ilvl w:val="0"/>
          <w:numId w:val="2"/>
        </w:numPr>
        <w:spacing w:after="100" w:line="300" w:lineRule="auto"/>
      </w:pPr>
      <w:r>
        <w:rPr>
          <w:rFonts w:ascii="Arial" w:cs="Arial" w:eastAsia="Arial" w:hAnsi="Arial"/>
          <w:sz w:val="22"/>
          <w:szCs w:val="22"/>
        </w:rPr>
        <w:t xml:space="preserve">−0.2 for any step that does not decrease that distance (i.e. it increases or stays equal).</w:t>
      </w:r>
    </w:p>
    <w:p>
      <w:pPr>
        <w:spacing w:after="160" w:line="300" w:lineRule="auto"/>
        <w:jc w:val="both"/>
      </w:pPr>
      <w:r>
        <w:rPr>
          <w:rFonts w:ascii="Arial" w:cs="Arial" w:eastAsia="Arial" w:hAnsi="Arial"/>
          <w:sz w:val="22"/>
          <w:szCs w:val="22"/>
        </w:rPr>
        <w:t xml:space="preserve">The shaping term is deliberately asymmetric: the penalty for moving away from the food (−0.2) is twice the magnitude of the reward for approaching it (+0.1). This asymmetry biases the cumulative discounted return against any policy that oscillates back and forth or loops without net progress, since an equal number of “closer” and “farther” steps yields a net negative reward rather than a neutral one. This is consistent with the project's stated goal of curing “aimless looping” behavior.</w:t>
      </w:r>
    </w:p>
    <w:p>
      <w:pPr>
        <w:pStyle w:val="Heading2"/>
        <w:spacing w:after="160" w:before="280"/>
      </w:pPr>
      <w:r>
        <w:rPr>
          <w:rFonts w:ascii="Arial" w:cs="Arial" w:eastAsia="Arial" w:hAnsi="Arial"/>
        </w:rPr>
        <w:t xml:space="preserve">3.4 Rendering and Throughput</w:t>
      </w:r>
    </w:p>
    <w:p>
      <w:pPr>
        <w:spacing w:after="160" w:line="300" w:lineRule="auto"/>
        <w:jc w:val="both"/>
      </w:pPr>
      <w:r>
        <w:rPr>
          <w:rFonts w:ascii="Arial" w:cs="Arial" w:eastAsia="Arial" w:hAnsi="Arial"/>
          <w:sz w:val="22"/>
          <w:szCs w:val="22"/>
        </w:rPr>
        <w:t xml:space="preserve">The environment always renders to a Pygame window and calls clock.tick(SPEED) on every non-terminal step, with SPEED currently set to 175 (a commented-out earlier value of 75 remains in the source, indicating this constant was tuned upward during development to accelerate data collection while still allowing the game to be watched live). Because no headless or render-free execution path exists, the wall-clock duration of training is coupled to this rendering loop rather than being bound purely by GPU/CPU throughput — a relevant engineering constraint for the multi-thousand-episode runs described in Section 8.</w:t>
      </w:r>
    </w:p>
    <w:p>
      <w:pPr>
        <w:pStyle w:val="Heading1"/>
        <w:spacing w:after="200" w:before="360"/>
      </w:pPr>
      <w:r>
        <w:rPr>
          <w:rFonts w:ascii="Arial" w:cs="Arial" w:eastAsia="Arial" w:hAnsi="Arial"/>
        </w:rPr>
        <w:t xml:space="preserve">4. State Representation</w:t>
      </w:r>
    </w:p>
    <w:p>
      <w:pPr>
        <w:spacing w:after="160" w:line="300" w:lineRule="auto"/>
        <w:jc w:val="both"/>
      </w:pPr>
      <w:r>
        <w:rPr>
          <w:rFonts w:ascii="Arial" w:cs="Arial" w:eastAsia="Arial" w:hAnsi="Arial"/>
          <w:sz w:val="22"/>
          <w:szCs w:val="22"/>
        </w:rPr>
        <w:t xml:space="preserve">The agent observes two state tensors at every step, constructed in agent.py's get_image_state() and get_logic_state() methods respectively, and consumed jointly by the network described in Section 5.</w:t>
      </w:r>
    </w:p>
    <w:p>
      <w:pPr>
        <w:pStyle w:val="Heading2"/>
        <w:spacing w:after="160" w:before="280"/>
      </w:pPr>
      <w:r>
        <w:rPr>
          <w:rFonts w:ascii="Arial" w:cs="Arial" w:eastAsia="Arial" w:hAnsi="Arial"/>
        </w:rPr>
        <w:t xml:space="preserve">4.1 Visual State: a 3-Channel Spatial Tensor</w:t>
      </w:r>
    </w:p>
    <w:p>
      <w:pPr>
        <w:spacing w:after="160" w:line="300" w:lineRule="auto"/>
        <w:jc w:val="both"/>
      </w:pPr>
      <w:r>
        <w:rPr>
          <w:rFonts w:ascii="Arial" w:cs="Arial" w:eastAsia="Arial" w:hAnsi="Arial"/>
          <w:sz w:val="22"/>
          <w:szCs w:val="22"/>
        </w:rPr>
        <w:t xml:space="preserve">The visual state is a NumPy array of shape (3, rows+2, cols+2) — concretely (3, 26, 34) for the 24×32 board — padded by one cell on every side. The three channels are:</w:t>
      </w:r>
    </w:p>
    <w:p>
      <w:pPr>
        <w:pStyle w:val="ListParagraph"/>
        <w:numPr>
          <w:ilvl w:val="0"/>
          <w:numId w:val="2"/>
        </w:numPr>
        <w:spacing w:after="100" w:line="300" w:lineRule="auto"/>
      </w:pPr>
      <w:r>
        <w:rPr>
          <w:rFonts w:ascii="Arial" w:cs="Arial" w:eastAsia="Arial" w:hAnsi="Arial"/>
          <w:sz w:val="22"/>
          <w:szCs w:val="22"/>
        </w:rPr>
        <w:t xml:space="preserve">Channel 0 — Head: a single 1 at the grid cell currently occupied by the snake's head, 0 elsewhere.</w:t>
      </w:r>
    </w:p>
    <w:p>
      <w:pPr>
        <w:pStyle w:val="ListParagraph"/>
        <w:numPr>
          <w:ilvl w:val="0"/>
          <w:numId w:val="2"/>
        </w:numPr>
        <w:spacing w:after="100" w:line="300" w:lineRule="auto"/>
      </w:pPr>
      <w:r>
        <w:rPr>
          <w:rFonts w:ascii="Arial" w:cs="Arial" w:eastAsia="Arial" w:hAnsi="Arial"/>
          <w:sz w:val="22"/>
          <w:szCs w:val="22"/>
        </w:rPr>
        <w:t xml:space="preserve">Channel 1 — Obstacles: 1 at every cell occupied by the snake's body and at every padding/border cell, 0 elsewhere.</w:t>
      </w:r>
    </w:p>
    <w:p>
      <w:pPr>
        <w:pStyle w:val="ListParagraph"/>
        <w:numPr>
          <w:ilvl w:val="0"/>
          <w:numId w:val="2"/>
        </w:numPr>
        <w:spacing w:after="100" w:line="300" w:lineRule="auto"/>
      </w:pPr>
      <w:r>
        <w:rPr>
          <w:rFonts w:ascii="Arial" w:cs="Arial" w:eastAsia="Arial" w:hAnsi="Arial"/>
          <w:sz w:val="22"/>
          <w:szCs w:val="22"/>
        </w:rPr>
        <w:t xml:space="preserve">Channel 2 — Food gradient: a continuous heatmap, not a binary mask, computed as max(0, 1 − d/d_max), where d is the L1 (Manhattan) distance from each cell to the food and d_max = rows + cols (56 for the current board).</w:t>
      </w:r>
    </w:p>
    <w:p>
      <w:pPr>
        <w:spacing w:after="160" w:line="300" w:lineRule="auto"/>
        <w:jc w:val="both"/>
      </w:pPr>
      <w:r>
        <w:rPr>
          <w:rFonts w:ascii="Arial" w:cs="Arial" w:eastAsia="Arial" w:hAnsi="Arial"/>
          <w:sz w:val="22"/>
          <w:szCs w:val="22"/>
        </w:rPr>
        <w:t xml:space="preserve">Two design choices stand out. First, marking the padded border cells as obstacles in Channel 1 means wall-awareness is baked directly into the same channel the convolutional kernels already scan for body collisions, rather than requiring the network to separately infer that the literal edge of the array is special; this also keeps every interior cell's receptive field symmetric. Second, because d is measured against the full grid (including padding) while d_max uses the unpadded rows + cols, the maximum achievable distance from any in-bounds food cell to any padded grid cell is bounded exactly by d_max, so the heatmap is mathematically guaranteed to stay within [0, 1] without explicit clipping ever being triggered in practice — the np.maximum(0.0, …) call is a defensive safeguard rather than a condition the geometry can actually violate.</w:t>
      </w:r>
    </w:p>
    <w:p>
      <w:pPr>
        <w:pStyle w:val="Heading2"/>
        <w:spacing w:after="160" w:before="280"/>
      </w:pPr>
      <w:r>
        <w:rPr>
          <w:rFonts w:ascii="Arial" w:cs="Arial" w:eastAsia="Arial" w:hAnsi="Arial"/>
        </w:rPr>
        <w:t xml:space="preserve">4.2 Logical State: a 12-Element Reflex Vector</w:t>
      </w:r>
    </w:p>
    <w:p>
      <w:pPr>
        <w:spacing w:after="160" w:line="300" w:lineRule="auto"/>
        <w:jc w:val="both"/>
      </w:pPr>
      <w:r>
        <w:rPr>
          <w:rFonts w:ascii="Arial" w:cs="Arial" w:eastAsia="Arial" w:hAnsi="Arial"/>
          <w:sz w:val="22"/>
          <w:szCs w:val="22"/>
        </w:rPr>
        <w:t xml:space="preserve">In parallel, get_logic_state() builds a 12-element float vector with three groups of four boolean features each:</w:t>
      </w:r>
    </w:p>
    <w:p>
      <w:pPr>
        <w:pStyle w:val="ListParagraph"/>
        <w:numPr>
          <w:ilvl w:val="0"/>
          <w:numId w:val="2"/>
        </w:numPr>
        <w:spacing w:after="100" w:line="300" w:lineRule="auto"/>
      </w:pPr>
      <w:r>
        <w:rPr>
          <w:rFonts w:ascii="Arial" w:cs="Arial" w:eastAsia="Arial" w:hAnsi="Arial"/>
          <w:sz w:val="22"/>
          <w:szCs w:val="22"/>
        </w:rPr>
        <w:t xml:space="preserve">Danger (4): whether moving one cell up, right, down, or left from the head would immediately collide, evaluated via the same is_collision() check used for termination.</w:t>
      </w:r>
    </w:p>
    <w:p>
      <w:pPr>
        <w:pStyle w:val="ListParagraph"/>
        <w:numPr>
          <w:ilvl w:val="0"/>
          <w:numId w:val="2"/>
        </w:numPr>
        <w:spacing w:after="100" w:line="300" w:lineRule="auto"/>
      </w:pPr>
      <w:r>
        <w:rPr>
          <w:rFonts w:ascii="Arial" w:cs="Arial" w:eastAsia="Arial" w:hAnsi="Arial"/>
          <w:sz w:val="22"/>
          <w:szCs w:val="22"/>
        </w:rPr>
        <w:t xml:space="preserve">Direction (4): a one-hot encoding of the snake's current heading.</w:t>
      </w:r>
    </w:p>
    <w:p>
      <w:pPr>
        <w:pStyle w:val="ListParagraph"/>
        <w:numPr>
          <w:ilvl w:val="0"/>
          <w:numId w:val="2"/>
        </w:numPr>
        <w:spacing w:after="100" w:line="300" w:lineRule="auto"/>
      </w:pPr>
      <w:r>
        <w:rPr>
          <w:rFonts w:ascii="Arial" w:cs="Arial" w:eastAsia="Arial" w:hAnsi="Arial"/>
          <w:sz w:val="22"/>
          <w:szCs w:val="22"/>
        </w:rPr>
        <w:t xml:space="preserve">Food location (4): whether the food lies above, to the right of, below, or to the left of the head, via independent coordinate comparisons.</w:t>
      </w:r>
    </w:p>
    <w:p>
      <w:pPr>
        <w:spacing w:after="160" w:line="300" w:lineRule="auto"/>
        <w:jc w:val="both"/>
      </w:pPr>
      <w:r>
        <w:rPr>
          <w:rFonts w:ascii="Arial" w:cs="Arial" w:eastAsia="Arial" w:hAnsi="Arial"/>
          <w:sz w:val="22"/>
          <w:szCs w:val="22"/>
        </w:rPr>
        <w:t xml:space="preserve">It is worth noting explicitly that the food-location group is not a one-hot encoding: because each of the four comparisons (food.y &lt; head.y, food.x &gt; head.x, etc.) is evaluated independently, two adjacent entries can be simultaneously true when the food is diagonal to the head (e.g. both “up” and “right” active). The network therefore receives genuine two-dimensional directional information rather than a coarse four-way classification.</w:t>
      </w:r>
    </w:p>
    <w:p>
      <w:pPr>
        <w:pStyle w:val="Heading2"/>
        <w:spacing w:after="160" w:before="280"/>
      </w:pPr>
      <w:r>
        <w:rPr>
          <w:rFonts w:ascii="Arial" w:cs="Arial" w:eastAsia="Arial" w:hAnsi="Arial"/>
        </w:rPr>
        <w:t xml:space="preserve">4.3 Why Two Representations Instead of One</w:t>
      </w:r>
    </w:p>
    <w:p>
      <w:pPr>
        <w:spacing w:after="160" w:line="300" w:lineRule="auto"/>
        <w:jc w:val="both"/>
      </w:pPr>
      <w:r>
        <w:rPr>
          <w:rFonts w:ascii="Arial" w:cs="Arial" w:eastAsia="Arial" w:hAnsi="Arial"/>
          <w:sz w:val="22"/>
          <w:szCs w:val="22"/>
        </w:rPr>
        <w:t xml:space="preserve">The danger sub-vector of the logical state is informationally redundant with Channel 1 of the visual state — both ultimately encode “is the adjacent cell free” — yet the project deliberately keeps both. The visual channel gives the convolutional stack a global, spatially structured view that supports long-horizon planning (e.g. recognizing that a corridor formed by the snake's own tail will become a dead end several moves in advance), whereas the logical vector hands the network an immediate, pre-computed answer to the most safety-critical question (“will the very next move kill me”) without requiring it to be re-derived from convolutional features at every forward pass. The Late Fusion architecture in Section 5 is what allows both signals to influence the final Q-values jointly.</w:t>
      </w:r>
    </w:p>
    <w:p>
      <w:pPr>
        <w:pStyle w:val="Heading1"/>
        <w:spacing w:after="200" w:before="360"/>
      </w:pPr>
      <w:r>
        <w:rPr>
          <w:rFonts w:ascii="Arial" w:cs="Arial" w:eastAsia="Arial" w:hAnsi="Arial"/>
        </w:rPr>
        <w:t xml:space="preserve">5. Network Architecture</w:t>
      </w:r>
    </w:p>
    <w:p>
      <w:pPr>
        <w:spacing w:after="160" w:line="300" w:lineRule="auto"/>
        <w:jc w:val="both"/>
      </w:pPr>
      <w:r>
        <w:rPr>
          <w:rFonts w:ascii="Arial" w:cs="Arial" w:eastAsia="Arial" w:hAnsi="Arial"/>
          <w:sz w:val="22"/>
          <w:szCs w:val="22"/>
        </w:rPr>
        <w:t xml:space="preserve">The network, Conv_QNet in model.py, is constructed once in Agent.__init__() with input_shape=(3, 26, 34), a logical input size of 12, and an output size of 4 (one Q-value per absolute direction). Table 2 traces the spatial dimensions of the visual branch layer by layer, computed directly from the kernel/stride/padding parameters in the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00"/>
        <w:gridCol w:w="2260"/>
      </w:tblGrid>
      <w:tr>
        <w:trPr>
          <w:tblHeader/>
        </w:trPr>
        <w:tc>
          <w:tcPr>
            <w:tcW w:type="dxa" w:w="2200"/>
            <w:tcBorders>
              <w:top w:val="single" w:color="BFBFBF" w:sz="2"/>
              <w:left w:val="single" w:color="BFBFBF" w:sz="2"/>
              <w:bottom w:val="single" w:color="BFBFBF" w:sz="2"/>
              <w:right w:val="single" w:color="BFBFBF" w:sz="2"/>
            </w:tcBorders>
            <w:shd w:fill="2E5E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4900"/>
            <w:tcBorders>
              <w:top w:val="single" w:color="BFBFBF" w:sz="2"/>
              <w:left w:val="single" w:color="BFBFBF" w:sz="2"/>
              <w:bottom w:val="single" w:color="BFBFBF" w:sz="2"/>
              <w:right w:val="single" w:color="BFBFBF" w:sz="2"/>
            </w:tcBorders>
            <w:shd w:fill="2E5E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Layers</w:t>
            </w:r>
          </w:p>
        </w:tc>
        <w:tc>
          <w:tcPr>
            <w:tcW w:type="dxa" w:w="2260"/>
            <w:tcBorders>
              <w:top w:val="single" w:color="BFBFBF" w:sz="2"/>
              <w:left w:val="single" w:color="BFBFBF" w:sz="2"/>
              <w:bottom w:val="single" w:color="BFBFBF" w:sz="2"/>
              <w:right w:val="single" w:color="BFBFBF" w:sz="2"/>
            </w:tcBorders>
            <w:shd w:fill="2E5E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 shape (C×H×W)</w:t>
            </w:r>
          </w:p>
        </w:tc>
      </w:tr>
      <w:tr>
        <w:tc>
          <w:tcPr>
            <w:tcW w:type="dxa" w:w="22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Input</w:t>
            </w:r>
          </w:p>
        </w:tc>
        <w:tc>
          <w:tcPr>
            <w:tcW w:type="dxa" w:w="49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w:t>
            </w:r>
          </w:p>
        </w:tc>
        <w:tc>
          <w:tcPr>
            <w:tcW w:type="dxa" w:w="226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3 × 26 × 34</w:t>
            </w:r>
          </w:p>
        </w:tc>
      </w:tr>
      <w:tr>
        <w:tc>
          <w:tcPr>
            <w:tcW w:type="dxa" w:w="22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Conv block 1</w:t>
            </w:r>
          </w:p>
        </w:tc>
        <w:tc>
          <w:tcPr>
            <w:tcW w:type="dxa" w:w="49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Conv(3→32,k3,p1)+ReLU, Conv(32→32,k3,p1)+ReLU, MaxPool(2,2)</w:t>
            </w:r>
          </w:p>
        </w:tc>
        <w:tc>
          <w:tcPr>
            <w:tcW w:type="dxa" w:w="226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32 × 13 × 17</w:t>
            </w:r>
          </w:p>
        </w:tc>
      </w:tr>
      <w:tr>
        <w:tc>
          <w:tcPr>
            <w:tcW w:type="dxa" w:w="22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Conv block 2</w:t>
            </w:r>
          </w:p>
        </w:tc>
        <w:tc>
          <w:tcPr>
            <w:tcW w:type="dxa" w:w="49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Conv(32→64,k3,p1)+ReLU, Conv(64→64,k3,p1)+ReLU, MaxPool(2,2)</w:t>
            </w:r>
          </w:p>
        </w:tc>
        <w:tc>
          <w:tcPr>
            <w:tcW w:type="dxa" w:w="226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64 × 6 × 8</w:t>
            </w:r>
          </w:p>
        </w:tc>
      </w:tr>
      <w:tr>
        <w:tc>
          <w:tcPr>
            <w:tcW w:type="dxa" w:w="22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Conv block 3</w:t>
            </w:r>
          </w:p>
        </w:tc>
        <w:tc>
          <w:tcPr>
            <w:tcW w:type="dxa" w:w="49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Conv(64→128,k3,p1)+ReLU</w:t>
            </w:r>
          </w:p>
        </w:tc>
        <w:tc>
          <w:tcPr>
            <w:tcW w:type="dxa" w:w="226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128 × 6 × 8</w:t>
            </w:r>
          </w:p>
        </w:tc>
      </w:tr>
      <w:tr>
        <w:tc>
          <w:tcPr>
            <w:tcW w:type="dxa" w:w="22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Flatten</w:t>
            </w:r>
          </w:p>
        </w:tc>
        <w:tc>
          <w:tcPr>
            <w:tcW w:type="dxa" w:w="49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w:t>
            </w:r>
          </w:p>
        </w:tc>
        <w:tc>
          <w:tcPr>
            <w:tcW w:type="dxa" w:w="226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6,144</w:t>
            </w:r>
          </w:p>
        </w:tc>
      </w:tr>
    </w:tbl>
    <w:p>
      <w:pPr>
        <w:spacing w:after="280"/>
        <w:jc w:val="center"/>
      </w:pPr>
      <w:r>
        <w:rPr>
          <w:rFonts w:ascii="Arial" w:cs="Arial" w:eastAsia="Arial" w:hAnsi="Arial"/>
          <w:i/>
          <w:iCs/>
          <w:color w:val="555555"/>
          <w:sz w:val="19"/>
          <w:szCs w:val="19"/>
        </w:rPr>
        <w:t xml:space="preserve">Table 2. Spatial dimensions through the convolutional feature extractor.</w:t>
      </w:r>
    </w:p>
    <w:p>
      <w:pPr>
        <w:spacing w:after="160" w:line="300" w:lineRule="auto"/>
        <w:jc w:val="both"/>
      </w:pPr>
      <w:r>
        <w:rPr>
          <w:rFonts w:ascii="Arial" w:cs="Arial" w:eastAsia="Arial" w:hAnsi="Arial"/>
          <w:sz w:val="22"/>
          <w:szCs w:val="22"/>
        </w:rPr>
        <w:t xml:space="preserve">The flattened 6,144-element feature vector is then compressed by three fully connected layers (6,144→4,096→1,024→256), each followed by ReLU, with Dropout(p=0.2) after the first two. The resulting 256-dimensional visual embedding is concatenated with the 12-element logical vector (268 total) and passed through a final head of three more fully connected layers (268→256→128→4), with Dropout(p=0.2) after the first. This concatenation point is the Late Fusion referenced throughout the codebase's comments and the project README.</w:t>
      </w:r>
    </w:p>
    <w:p>
      <w:pPr>
        <w:pStyle w:val="Heading2"/>
        <w:spacing w:after="160" w:before="280"/>
      </w:pPr>
      <w:r>
        <w:rPr>
          <w:rFonts w:ascii="Arial" w:cs="Arial" w:eastAsia="Arial" w:hAnsi="Arial"/>
        </w:rPr>
        <w:t xml:space="preserve">5.1 Parameter Budget</w:t>
      </w:r>
    </w:p>
    <w:p>
      <w:pPr>
        <w:spacing w:after="160" w:line="300" w:lineRule="auto"/>
        <w:jc w:val="both"/>
      </w:pPr>
      <w:r>
        <w:rPr>
          <w:rFonts w:ascii="Arial" w:cs="Arial" w:eastAsia="Arial" w:hAnsi="Arial"/>
          <w:sz w:val="22"/>
          <w:szCs w:val="22"/>
        </w:rPr>
        <w:t xml:space="preserve">Counting parameters directly from the layer definitions yields the breakdown in Table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680"/>
        <w:gridCol w:w="2080"/>
      </w:tblGrid>
      <w:tr>
        <w:trPr>
          <w:tblHeader/>
        </w:trPr>
        <w:tc>
          <w:tcPr>
            <w:tcW w:type="dxa" w:w="4600"/>
            <w:tcBorders>
              <w:top w:val="single" w:color="BFBFBF" w:sz="2"/>
              <w:left w:val="single" w:color="BFBFBF" w:sz="2"/>
              <w:bottom w:val="single" w:color="BFBFBF" w:sz="2"/>
              <w:right w:val="single" w:color="BFBFBF" w:sz="2"/>
            </w:tcBorders>
            <w:shd w:fill="2E5E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680"/>
            <w:tcBorders>
              <w:top w:val="single" w:color="BFBFBF" w:sz="2"/>
              <w:left w:val="single" w:color="BFBFBF" w:sz="2"/>
              <w:bottom w:val="single" w:color="BFBFBF" w:sz="2"/>
              <w:right w:val="single" w:color="BFBFBF" w:sz="2"/>
            </w:tcBorders>
            <w:shd w:fill="2E5E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Parameters</w:t>
            </w:r>
          </w:p>
        </w:tc>
        <w:tc>
          <w:tcPr>
            <w:tcW w:type="dxa" w:w="2080"/>
            <w:tcBorders>
              <w:top w:val="single" w:color="BFBFBF" w:sz="2"/>
              <w:left w:val="single" w:color="BFBFBF" w:sz="2"/>
              <w:bottom w:val="single" w:color="BFBFBF" w:sz="2"/>
              <w:right w:val="single" w:color="BFBFBF" w:sz="2"/>
            </w:tcBorders>
            <w:shd w:fill="2E5E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Share of total</w:t>
            </w:r>
          </w:p>
        </w:tc>
      </w:tr>
      <w:tr>
        <w:tc>
          <w:tcPr>
            <w:tcW w:type="dxa" w:w="46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Convolutional feature extractor (5 conv layers)</w:t>
            </w:r>
          </w:p>
        </w:tc>
        <w:tc>
          <w:tcPr>
            <w:tcW w:type="dxa" w:w="268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139,424</w:t>
            </w:r>
          </w:p>
        </w:tc>
        <w:tc>
          <w:tcPr>
            <w:tcW w:type="dxa" w:w="208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0.5%</w:t>
            </w:r>
          </w:p>
        </w:tc>
      </w:tr>
      <w:tr>
        <w:tc>
          <w:tcPr>
            <w:tcW w:type="dxa" w:w="46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Visual compression MLP (6,144→4,096→1,024→256)</w:t>
            </w:r>
          </w:p>
        </w:tc>
        <w:tc>
          <w:tcPr>
            <w:tcW w:type="dxa" w:w="268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29,627,648</w:t>
            </w:r>
          </w:p>
        </w:tc>
        <w:tc>
          <w:tcPr>
            <w:tcW w:type="dxa" w:w="208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99.2%</w:t>
            </w:r>
          </w:p>
        </w:tc>
      </w:tr>
      <w:tr>
        <w:tc>
          <w:tcPr>
            <w:tcW w:type="dxa" w:w="46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  — of which, the single 6,144→4,096 layer</w:t>
            </w:r>
          </w:p>
        </w:tc>
        <w:tc>
          <w:tcPr>
            <w:tcW w:type="dxa" w:w="268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25,169,920</w:t>
            </w:r>
          </w:p>
        </w:tc>
        <w:tc>
          <w:tcPr>
            <w:tcW w:type="dxa" w:w="208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84.3%</w:t>
            </w:r>
          </w:p>
        </w:tc>
      </w:tr>
      <w:tr>
        <w:tc>
          <w:tcPr>
            <w:tcW w:type="dxa" w:w="46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Fusion head (268→256→128→4)</w:t>
            </w:r>
          </w:p>
        </w:tc>
        <w:tc>
          <w:tcPr>
            <w:tcW w:type="dxa" w:w="268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102,276</w:t>
            </w:r>
          </w:p>
        </w:tc>
        <w:tc>
          <w:tcPr>
            <w:tcW w:type="dxa" w:w="208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0.3%</w:t>
            </w:r>
          </w:p>
        </w:tc>
      </w:tr>
      <w:tr>
        <w:tc>
          <w:tcPr>
            <w:tcW w:type="dxa" w:w="46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Total</w:t>
            </w:r>
          </w:p>
        </w:tc>
        <w:tc>
          <w:tcPr>
            <w:tcW w:type="dxa" w:w="268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≈29,869,348</w:t>
            </w:r>
          </w:p>
        </w:tc>
        <w:tc>
          <w:tcPr>
            <w:tcW w:type="dxa" w:w="208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100%</w:t>
            </w:r>
          </w:p>
        </w:tc>
      </w:tr>
    </w:tbl>
    <w:p>
      <w:pPr>
        <w:spacing w:after="280"/>
        <w:jc w:val="center"/>
      </w:pPr>
      <w:r>
        <w:rPr>
          <w:rFonts w:ascii="Arial" w:cs="Arial" w:eastAsia="Arial" w:hAnsi="Arial"/>
          <w:i/>
          <w:iCs/>
          <w:color w:val="555555"/>
          <w:sz w:val="19"/>
          <w:szCs w:val="19"/>
        </w:rPr>
        <w:t xml:space="preserve">Table 3. Parameter count by component (computed from model.py layer definitions).</w:t>
      </w:r>
    </w:p>
    <w:p>
      <w:pPr>
        <w:spacing w:after="160" w:line="300" w:lineRule="auto"/>
        <w:jc w:val="both"/>
      </w:pPr>
      <w:r>
        <w:rPr>
          <w:rFonts w:ascii="Arial" w:cs="Arial" w:eastAsia="Arial" w:hAnsi="Arial"/>
          <w:sz w:val="22"/>
          <w:szCs w:val="22"/>
        </w:rPr>
        <w:t xml:space="preserve">This breakdown is a notable engineering observation: although the network is described as a CNN, fewer than one in two hundred of its parameters actually live in convolutional layers. The overwhelming majority of the parameter budget — and therefore of the memory and compute cost of a forward/backward pass — is consumed by a single fully connected layer that follows the flatten operation. This is a well-known consequence of flattening a non-trivial spatial feature map (128×6×8) directly into a wide dense layer rather than reducing it first with, for example, global average pooling. Whether this trade-off was a deliberate capacity decision or an incidental consequence of the architecture's evolution cannot be determined from the code alone, but its effect is unambiguous and worth flagging for any future iteration that targets training speed or deployment size.</w:t>
      </w:r>
    </w:p>
    <w:p>
      <w:pPr>
        <w:pStyle w:val="Heading2"/>
        <w:spacing w:after="160" w:before="280"/>
      </w:pPr>
      <w:r>
        <w:rPr>
          <w:rFonts w:ascii="Arial" w:cs="Arial" w:eastAsia="Arial" w:hAnsi="Arial"/>
        </w:rPr>
        <w:t xml:space="preserve">5.2 Weight Initialization</w:t>
      </w:r>
    </w:p>
    <w:p>
      <w:pPr>
        <w:spacing w:after="160" w:line="300" w:lineRule="auto"/>
        <w:jc w:val="both"/>
      </w:pPr>
      <w:r>
        <w:rPr>
          <w:rFonts w:ascii="Arial" w:cs="Arial" w:eastAsia="Arial" w:hAnsi="Arial"/>
          <w:sz w:val="22"/>
          <w:szCs w:val="22"/>
        </w:rPr>
        <w:t xml:space="preserve">Conv_QNet.__init__() iterates over all submodules and applies Kaiming Normal initialization (fan_out mode, ReLU nonlinearity) to every Conv2d layer, and Xavier Normal initialization to every Linear layer. Kaiming initialization is the standard choice for layers that feed into ReLU activations, since it accounts for the fact that ReLU zeroes out roughly half of its inputs and would otherwise cause activation variance to shrink with depth; Xavier initialization is a more general-purpose scheme that the code applies uniformly to all linear layers, including those that are also followed by ReLU. This is a defensible and common simplification rather than a strict mismatch, since both schemes aim to preserve activation/gradient variance and differ mainly in the assumed activation function's gain.</w:t>
      </w:r>
    </w:p>
    <w:p>
      <w:pPr>
        <w:pStyle w:val="Heading1"/>
        <w:spacing w:after="200" w:before="360"/>
      </w:pPr>
      <w:r>
        <w:rPr>
          <w:rFonts w:ascii="Arial" w:cs="Arial" w:eastAsia="Arial" w:hAnsi="Arial"/>
        </w:rPr>
        <w:t xml:space="preserve">6. Learning Algorithm</w:t>
      </w:r>
    </w:p>
    <w:p>
      <w:pPr>
        <w:pStyle w:val="Heading2"/>
        <w:spacing w:after="160" w:before="280"/>
      </w:pPr>
      <w:r>
        <w:rPr>
          <w:rFonts w:ascii="Arial" w:cs="Arial" w:eastAsia="Arial" w:hAnsi="Arial"/>
        </w:rPr>
        <w:t xml:space="preserve">6.1 Q-Learning Formulation and Target Network</w:t>
      </w:r>
    </w:p>
    <w:p>
      <w:pPr>
        <w:spacing w:after="160" w:line="300" w:lineRule="auto"/>
        <w:jc w:val="both"/>
      </w:pPr>
      <w:r>
        <w:rPr>
          <w:rFonts w:ascii="Arial" w:cs="Arial" w:eastAsia="Arial" w:hAnsi="Arial"/>
          <w:sz w:val="22"/>
          <w:szCs w:val="22"/>
        </w:rPr>
        <w:t xml:space="preserve">The agent implements standard (single) Deep Q-Learning with a separate target network, not Double DQN: the bootstrapped target for a non-terminal transition is reward + γ · max_a Q_target(s′, a), where both the action selection and the action evaluation at s′ are performed by the same target network (see QTrainer.train_step() in model.py). This is a meaningful distinction worth stating precisely, since Double DQN — which decouples action selection (online network) from action evaluation (target network) to reduce the well-documented overestimation bias of vanilla Q-learning — is a common extension that this implementation does not include. The target network's weights are copied from the online network every 1,000 cumulative environment steps (agent.n_steps), a counter that persists across episode boundaries rather than resetting per episode, with the discount factor γ fixed at 0.9.</w:t>
      </w:r>
    </w:p>
    <w:p>
      <w:pPr>
        <w:pStyle w:val="Heading2"/>
        <w:spacing w:after="160" w:before="280"/>
      </w:pPr>
      <w:r>
        <w:rPr>
          <w:rFonts w:ascii="Arial" w:cs="Arial" w:eastAsia="Arial" w:hAnsi="Arial"/>
        </w:rPr>
        <w:t xml:space="preserve">6.2 Loss Function and Masked TD Targets</w:t>
      </w:r>
    </w:p>
    <w:p>
      <w:pPr>
        <w:spacing w:after="160" w:line="300" w:lineRule="auto"/>
        <w:jc w:val="both"/>
      </w:pPr>
      <w:r>
        <w:rPr>
          <w:rFonts w:ascii="Arial" w:cs="Arial" w:eastAsia="Arial" w:hAnsi="Arial"/>
          <w:sz w:val="22"/>
          <w:szCs w:val="22"/>
        </w:rPr>
        <w:t xml:space="preserve">Optimization uses the Adam optimizer with a learning rate of 1×10⁻⁴ and PyTorch's SmoothL1Loss (Huber loss) rather than mean-squared error. Huber loss behaves quadratically for small errors and linearly for large ones, which makes it less sensitive to the occasional large TD error that this reward scheme can produce (a single transition can carry a reward as extreme as +10 or −10 against small ±0.1/−0.2 shaping rewards elsewhere), reducing the influence of outlier gradients on the network's weights compared to a pure squared-error loss.</w:t>
      </w:r>
    </w:p>
    <w:p>
      <w:pPr>
        <w:spacing w:after="160" w:line="300" w:lineRule="auto"/>
        <w:jc w:val="both"/>
      </w:pPr>
      <w:r>
        <w:rPr>
          <w:rFonts w:ascii="Arial" w:cs="Arial" w:eastAsia="Arial" w:hAnsi="Arial"/>
          <w:sz w:val="22"/>
          <w:szCs w:val="22"/>
        </w:rPr>
        <w:t xml:space="preserve">The TD target is constructed with a masking technique: the predicted Q-vector for the current state is cloned and detached, and only the entry corresponding to the action actually taken is overwritten with the bootstrapped target value; the remaining three entries are left equal to the network's own prediction. Since the loss is computed between this modified target and the original prediction across all four outputs, the three untouched entries contribute exactly zero to the loss gradient, so the update only ever pushes the Q-value of the action that was actually executed — without needing an explicit boolean mask tensor in the loss computation itself.</w:t>
      </w:r>
    </w:p>
    <w:p>
      <w:pPr>
        <w:pStyle w:val="Heading2"/>
        <w:spacing w:after="160" w:before="280"/>
      </w:pPr>
      <w:r>
        <w:rPr>
          <w:rFonts w:ascii="Arial" w:cs="Arial" w:eastAsia="Arial" w:hAnsi="Arial"/>
        </w:rPr>
        <w:t xml:space="preserve">6.3 Hybrid Online and Replay Training</w:t>
      </w:r>
    </w:p>
    <w:p>
      <w:pPr>
        <w:spacing w:after="160" w:line="300" w:lineRule="auto"/>
        <w:jc w:val="both"/>
      </w:pPr>
      <w:r>
        <w:rPr>
          <w:rFonts w:ascii="Arial" w:cs="Arial" w:eastAsia="Arial" w:hAnsi="Arial"/>
          <w:sz w:val="22"/>
          <w:szCs w:val="22"/>
        </w:rPr>
        <w:t xml:space="preserve">The implementation combines two update modes that share a single train_step() implementation in QTrainer, which detects whether it has received a single transition or a batch by checking the rank of the input tensors and unsqueezing a batch dimension when needed. train_short_memory() is called after every single environment step and performs an immediate, unbatched gradient update (effectively an online TD(0) update). Separately, train_long_memory() is called once at the end of every episode and samples a batch of BATCH_SIZE = 256 transitions uniformly at random (via random.sample) from a deque capped at MAX_MEMORY = 100,000 transitions — standard experience replay, used to decorrelate consecutive samples and stabilize training. Textbook DQN trains exclusively from replay batches; combining that with a per-step online update is a deliberate deviation that gives the agent an immediate gradient signal after every action in addition to the more statistically stable batched updates at episode boundaries.</w:t>
      </w:r>
    </w:p>
    <w:p>
      <w:pPr>
        <w:pStyle w:val="Heading2"/>
        <w:spacing w:after="160" w:before="280"/>
      </w:pPr>
      <w:r>
        <w:rPr>
          <w:rFonts w:ascii="Arial" w:cs="Arial" w:eastAsia="Arial" w:hAnsi="Arial"/>
        </w:rPr>
        <w:t xml:space="preserve">6.4 Exploration Schedule and Action Masking</w:t>
      </w:r>
    </w:p>
    <w:p>
      <w:pPr>
        <w:spacing w:after="160" w:line="300" w:lineRule="auto"/>
        <w:jc w:val="both"/>
      </w:pPr>
      <w:r>
        <w:rPr>
          <w:rFonts w:ascii="Arial" w:cs="Arial" w:eastAsia="Arial" w:hAnsi="Arial"/>
          <w:sz w:val="22"/>
          <w:szCs w:val="22"/>
        </w:rPr>
        <w:t xml:space="preserve">The exploration rate is computed in Agent.get_action() as epsilon = max(0.02, 1 − num_games/4000) while num_games ≤ 5000, and is hard-set to 0 once num_games exceeds 5000. This produces three distinct regimes over the course of training: a linear decay from full randomness (ε = 1.0) down to a floor of 0.02 over the first 4,000 episodes; a plateau at that 0.02 floor between episodes 4,000 and 5,000; and pure greedy exploitation (ε = 0) thereafter.</w:t>
      </w:r>
    </w:p>
    <w:p>
      <w:pPr>
        <w:spacing w:after="160" w:line="300" w:lineRule="auto"/>
        <w:jc w:val="both"/>
      </w:pPr>
      <w:r>
        <w:rPr>
          <w:rFonts w:ascii="Arial" w:cs="Arial" w:eastAsia="Arial" w:hAnsi="Arial"/>
          <w:sz w:val="22"/>
          <w:szCs w:val="22"/>
        </w:rPr>
        <w:t xml:space="preserve">In both the random and greedy branches, the action that would reverse the snake directly into its own neck is excluded before a choice is made: during random exploration, that index is removed from the candidate list before random.choice(); during greedy exploitation, the corresponding output unit's Q-value is overwritten with −∞ before the arg max is taken. Despite the network exposing four absolute output units, the effective per-step decision space is therefore three-way at every state, mirroring the three relative choices (straight/left/right) of the historical baseline — but implemented here as a hard mask on top of an unambiguous absolute action space, rather than as a relative encoding.</w:t>
      </w:r>
    </w:p>
    <w:p>
      <w:pPr>
        <w:pStyle w:val="Heading2"/>
        <w:spacing w:after="160" w:before="280"/>
      </w:pPr>
      <w:r>
        <w:rPr>
          <w:rFonts w:ascii="Arial" w:cs="Arial" w:eastAsia="Arial" w:hAnsi="Arial"/>
        </w:rPr>
        <w:t xml:space="preserve">6.5 Checkpointing</w:t>
      </w:r>
    </w:p>
    <w:p>
      <w:pPr>
        <w:spacing w:after="160" w:line="300" w:lineRule="auto"/>
        <w:jc w:val="both"/>
      </w:pPr>
      <w:r>
        <w:rPr>
          <w:rFonts w:ascii="Arial" w:cs="Arial" w:eastAsia="Arial" w:hAnsi="Arial"/>
          <w:sz w:val="22"/>
          <w:szCs w:val="22"/>
        </w:rPr>
        <w:t xml:space="preserve">Conv_QNet.save() is invoked from the training loop only when an episode's final score exceeds the best score observed so far in that run (“best-score” checkpointing), writing model.pth to a local model/ directory; there is no periodic or time-based checkpoint. When resuming training with start_over=False, only the network's weights are restored via Conv_QNet.load(); the episode counter is not restored from any persisted value and is instead hardcoded to 1200 in Agent.__init__(). Consequently, resuming a previous run approximates — but does not exactly reproduce — the exploration schedule and episode count of the original run, since epsilon is recomputed purely from this hardcoded counter rather than from a saved one.</w:t>
      </w:r>
    </w:p>
    <w:p>
      <w:pPr>
        <w:pStyle w:val="Heading1"/>
        <w:spacing w:after="200" w:before="360"/>
      </w:pPr>
      <w:r>
        <w:rPr>
          <w:rFonts w:ascii="Arial" w:cs="Arial" w:eastAsia="Arial" w:hAnsi="Arial"/>
        </w:rPr>
        <w:t xml:space="preserve">7. Engineering and Infrastructure Considerations</w:t>
      </w:r>
    </w:p>
    <w:p>
      <w:pPr>
        <w:pStyle w:val="Heading2"/>
        <w:spacing w:after="160" w:before="280"/>
      </w:pPr>
      <w:r>
        <w:rPr>
          <w:rFonts w:ascii="Arial" w:cs="Arial" w:eastAsia="Arial" w:hAnsi="Arial"/>
        </w:rPr>
        <w:t xml:space="preserve">7.1 Device Management</w:t>
      </w:r>
    </w:p>
    <w:p>
      <w:pPr>
        <w:spacing w:after="160" w:line="300" w:lineRule="auto"/>
        <w:jc w:val="both"/>
      </w:pPr>
      <w:r>
        <w:rPr>
          <w:rFonts w:ascii="Arial" w:cs="Arial" w:eastAsia="Arial" w:hAnsi="Arial"/>
          <w:sz w:val="22"/>
          <w:szCs w:val="22"/>
        </w:rPr>
        <w:t xml:space="preserve">Both files that build tensors (agent.py, model.py) resolve torch.device("cuda" if torch.cuda.is_available() else "cpu") independently at import time, and every tensor constructed for inference or training — in both the online and target networks — is moved to that device, so the implementation runs unmodified on either a CUDA-enabled GPU or a CPU-only machine.</w:t>
      </w:r>
    </w:p>
    <w:p>
      <w:pPr>
        <w:pStyle w:val="Heading2"/>
        <w:spacing w:after="160" w:before="280"/>
      </w:pPr>
      <w:r>
        <w:rPr>
          <w:rFonts w:ascii="Arial" w:cs="Arial" w:eastAsia="Arial" w:hAnsi="Arial"/>
        </w:rPr>
        <w:t xml:space="preserve">7.2 Live Training Dashboard</w:t>
      </w:r>
    </w:p>
    <w:p>
      <w:pPr>
        <w:spacing w:after="160" w:line="300" w:lineRule="auto"/>
        <w:jc w:val="both"/>
      </w:pPr>
      <w:r>
        <w:rPr>
          <w:rFonts w:ascii="Arial" w:cs="Arial" w:eastAsia="Arial" w:hAnsi="Arial"/>
          <w:sz w:val="22"/>
          <w:szCs w:val="22"/>
        </w:rPr>
        <w:t xml:space="preserve">helper.py maintains a single persistent Matplotlib figure with two stacked axes, created once at import time with plt.ion() (interactive mode) so the window updates without blocking execution. After every completed episode, plot() redraws raw score and the 50-episode moving average on the upper axis and the most recent replay loss on the lower axis, annotating the final values of each series. This gives real-time qualitative feedback during multi-thousand-episode runs, though it is the only feedback mechanism present — no structured experiment-tracking integration (e.g. TensorBoard, Weights &amp; Biases, or even a CSV/JSON log file) is implemented, so the dashboard PNGs saved in visualizations/ are, at present, the only durable record of a given training run's metrics.</w:t>
      </w:r>
    </w:p>
    <w:p>
      <w:pPr>
        <w:pStyle w:val="Heading2"/>
        <w:spacing w:after="160" w:before="280"/>
      </w:pPr>
      <w:r>
        <w:rPr>
          <w:rFonts w:ascii="Arial" w:cs="Arial" w:eastAsia="Arial" w:hAnsi="Arial"/>
        </w:rPr>
        <w:t xml:space="preserve">7.3 Platform-Specific Fixes</w:t>
      </w:r>
    </w:p>
    <w:p>
      <w:pPr>
        <w:spacing w:after="160" w:line="300" w:lineRule="auto"/>
        <w:jc w:val="both"/>
      </w:pPr>
      <w:r>
        <w:rPr>
          <w:rFonts w:ascii="Arial" w:cs="Arial" w:eastAsia="Arial" w:hAnsi="Arial"/>
          <w:sz w:val="22"/>
          <w:szCs w:val="22"/>
        </w:rPr>
        <w:t xml:space="preserve">game.py opens with a guarded attempt to enable Windows per-monitor DPI awareness (ctypes.windll.shcore.SetProcessDpiAwareness, falling back to the older SetProcessDPIAware, both wrapped in try/except so the calls fail silently and harmlessly on non-Windows platforms), and sets the SDL_VIDEO_MINIMIZE_ON_FOCUS_LOSS environment variable to 0 so the game window does not auto-minimize when the user's focus shifts to the separate Matplotlib dashboard window. Together these indicate the project was developed and iterated primarily on a Windows desktop, with the rendering window and the live dashboard intended to be visible side by side during training.</w:t>
      </w:r>
    </w:p>
    <w:p>
      <w:pPr>
        <w:pStyle w:val="Heading2"/>
        <w:spacing w:after="160" w:before="280"/>
      </w:pPr>
      <w:r>
        <w:rPr>
          <w:rFonts w:ascii="Arial" w:cs="Arial" w:eastAsia="Arial" w:hAnsi="Arial"/>
        </w:rPr>
        <w:t xml:space="preserve">7.4 Dependency Manifest Gap</w:t>
      </w:r>
    </w:p>
    <w:p>
      <w:pPr>
        <w:spacing w:after="160" w:line="300" w:lineRule="auto"/>
        <w:jc w:val="both"/>
      </w:pPr>
      <w:r>
        <w:rPr>
          <w:rFonts w:ascii="Arial" w:cs="Arial" w:eastAsia="Arial" w:hAnsi="Arial"/>
          <w:sz w:val="22"/>
          <w:szCs w:val="22"/>
        </w:rPr>
        <w:t xml:space="preserve">requirements.txt lists pygame, matplotlib, ipython, and numpy (with matplotlib listed twice), but does not list torch, despite torch being an unconditional import in both agent.py and model.py and therefore a hard requirement for running any part of the training pipeline. A clean checkout following the README's documented pip install -r requirements.txt step would install successfully but fail at runtime with an ImportError until torch is installed separately. This is a small but concrete reproducibility gap in the current repository state.</w:t>
      </w:r>
    </w:p>
    <w:p>
      <w:pPr>
        <w:pStyle w:val="Heading2"/>
        <w:spacing w:after="160" w:before="280"/>
      </w:pPr>
      <w:r>
        <w:rPr>
          <w:rFonts w:ascii="Arial" w:cs="Arial" w:eastAsia="Arial" w:hAnsi="Arial"/>
        </w:rPr>
        <w:t xml:space="preserve">7.5 No Headless Execution Path</w:t>
      </w:r>
    </w:p>
    <w:p>
      <w:pPr>
        <w:spacing w:after="160" w:line="300" w:lineRule="auto"/>
        <w:jc w:val="both"/>
      </w:pPr>
      <w:r>
        <w:rPr>
          <w:rFonts w:ascii="Arial" w:cs="Arial" w:eastAsia="Arial" w:hAnsi="Arial"/>
          <w:sz w:val="22"/>
          <w:szCs w:val="22"/>
        </w:rPr>
        <w:t xml:space="preserve">As noted in Section 3.4, the environment unconditionally renders a Pygame window and throttles itself via clock.tick(SPEED) on every non-terminal step. No flag or alternate code path exists to run the simulation without rendering, which means the throughput of the entire training pipeline — including the GPU-bound neural network updates — is upper-bounded by the rendering/timing loop rather than by computation alone.</w:t>
      </w:r>
    </w:p>
    <w:p>
      <w:pPr>
        <w:pStyle w:val="Heading1"/>
        <w:spacing w:after="200" w:before="360"/>
      </w:pPr>
      <w:r>
        <w:rPr>
          <w:rFonts w:ascii="Arial" w:cs="Arial" w:eastAsia="Arial" w:hAnsi="Arial"/>
        </w:rPr>
        <w:t xml:space="preserve">8. Experimental Results and Analysis</w:t>
      </w:r>
    </w:p>
    <w:p>
      <w:pPr>
        <w:spacing w:after="160" w:line="300" w:lineRule="auto"/>
        <w:jc w:val="both"/>
      </w:pPr>
      <w:r>
        <w:rPr>
          <w:rFonts w:ascii="Arial" w:cs="Arial" w:eastAsia="Arial" w:hAnsi="Arial"/>
          <w:sz w:val="22"/>
          <w:szCs w:val="22"/>
        </w:rPr>
        <w:t xml:space="preserve">All figures in this section are reproduced from PNG dashboards saved by helper.py and retained in the repository's visualizations/ directory; no metrics in this section were recomputed or estimated independently of those saved artifacts. The final, current model architecture described in Sections 5 and 6 corresponds to the run recorded in Training_Dashboard_v2.png. The historical 11-parameter linear baseline (V1) is documented only in the project README and its own saved dashboard; no V1 source code remains in the repository, so it is included here strictly as motivating context rather than as part of the audited current implementation.</w:t>
      </w:r>
    </w:p>
    <w:p>
      <w:pPr>
        <w:pStyle w:val="Heading2"/>
        <w:spacing w:after="160" w:before="280"/>
      </w:pPr>
      <w:r>
        <w:rPr>
          <w:rFonts w:ascii="Arial" w:cs="Arial" w:eastAsia="Arial" w:hAnsi="Arial"/>
        </w:rPr>
        <w:t xml:space="preserve">8.1 Baseline Context (V1, Historical)</w:t>
      </w:r>
    </w:p>
    <w:p>
      <w:pPr>
        <w:spacing w:after="60" w:before="120"/>
        <w:jc w:val="center"/>
      </w:pPr>
      <w:r>
        <w:drawing>
          <wp:inline distT="0" distB="0" distL="0" distR="0">
            <wp:extent cx="4000500" cy="3000375"/>
            <wp:effectExtent t="0" r="0" b="0" l="0"/>
            <wp:docPr id="1" name="V1 baseline training dashboard" descr="V1 baseline training dashboard" title="V1 baseline train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000375"/>
                    </a:xfrm>
                    <a:prstGeom prst="rect">
                      <a:avLst/>
                    </a:prstGeom>
                  </pic:spPr>
                </pic:pic>
              </a:graphicData>
            </a:graphic>
          </wp:inline>
        </w:drawing>
      </w:r>
    </w:p>
    <w:p>
      <w:pPr>
        <w:spacing w:after="280"/>
        <w:jc w:val="center"/>
      </w:pPr>
      <w:r>
        <w:rPr>
          <w:rFonts w:ascii="Arial" w:cs="Arial" w:eastAsia="Arial" w:hAnsi="Arial"/>
          <w:i/>
          <w:iCs/>
          <w:color w:val="555555"/>
          <w:sz w:val="19"/>
          <w:szCs w:val="19"/>
        </w:rPr>
        <w:t xml:space="preserve">Figure 1. Training dashboard for the historical linear-DQN baseline (visualizations/Training_Dashboard_v1.png).</w:t>
      </w:r>
    </w:p>
    <w:p>
      <w:pPr>
        <w:spacing w:after="160" w:line="300" w:lineRule="auto"/>
        <w:jc w:val="both"/>
      </w:pPr>
      <w:r>
        <w:rPr>
          <w:rFonts w:ascii="Arial" w:cs="Arial" w:eastAsia="Arial" w:hAnsi="Arial"/>
          <w:sz w:val="22"/>
          <w:szCs w:val="22"/>
        </w:rPr>
        <w:t xml:space="preserve">The baseline's moving average rises quickly within the first ~150 episodes and then plateaus around a 50-episode moving average of 19.7 (final raw score 43, peak score approximately 50) after roughly 420 episodes, while its replay loss remains noisy and elevated, ending around 0.90. This pattern — fast initial learning followed by an early, hard ceiling — is consistent with a state representation limited to one-step-ahead danger and food-direction signals, which cannot encode multi-step path information such as a corridor that will only become a dead end several moves later.</w:t>
      </w:r>
    </w:p>
    <w:p>
      <w:pPr>
        <w:pStyle w:val="Heading2"/>
        <w:spacing w:after="160" w:before="280"/>
      </w:pPr>
      <w:r>
        <w:rPr>
          <w:rFonts w:ascii="Arial" w:cs="Arial" w:eastAsia="Arial" w:hAnsi="Arial"/>
        </w:rPr>
        <w:t xml:space="preserve">8.2 Current Implementation (V2)</w:t>
      </w:r>
    </w:p>
    <w:p>
      <w:pPr>
        <w:spacing w:after="60" w:before="120"/>
        <w:jc w:val="center"/>
      </w:pPr>
      <w:r>
        <w:drawing>
          <wp:inline distT="0" distB="0" distL="0" distR="0">
            <wp:extent cx="4000500" cy="3000375"/>
            <wp:effectExtent t="0" r="0" b="0" l="0"/>
            <wp:docPr id="1" name="V2 final training dashboard" descr="V2 final training dashboard" title="V2 final training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000375"/>
                    </a:xfrm>
                    <a:prstGeom prst="rect">
                      <a:avLst/>
                    </a:prstGeom>
                  </pic:spPr>
                </pic:pic>
              </a:graphicData>
            </a:graphic>
          </wp:inline>
        </w:drawing>
      </w:r>
    </w:p>
    <w:p>
      <w:pPr>
        <w:spacing w:after="280"/>
        <w:jc w:val="center"/>
      </w:pPr>
      <w:r>
        <w:rPr>
          <w:rFonts w:ascii="Arial" w:cs="Arial" w:eastAsia="Arial" w:hAnsi="Arial"/>
          <w:i/>
          <w:iCs/>
          <w:color w:val="555555"/>
          <w:sz w:val="19"/>
          <w:szCs w:val="19"/>
        </w:rPr>
        <w:t xml:space="preserve">Figure 2. Training dashboard for the current dual-input CNN architecture (visualizations/Training_Dashboard_v2.png).</w:t>
      </w:r>
    </w:p>
    <w:p>
      <w:pPr>
        <w:spacing w:after="160" w:line="300" w:lineRule="auto"/>
        <w:jc w:val="both"/>
      </w:pPr>
      <w:r>
        <w:rPr>
          <w:rFonts w:ascii="Arial" w:cs="Arial" w:eastAsia="Arial" w:hAnsi="Arial"/>
          <w:sz w:val="22"/>
          <w:szCs w:val="22"/>
        </w:rPr>
        <w:t xml:space="preserve">The current architecture requires substantially more episodes before its moving average stabilizes — a steep climb is visible over roughly the first 1,500–2,000 episodes, after which the 50-episode moving average oscillates in a broad band before settling around 30–35 for the remainder of the run. By the end of training (approximately 5,900 episodes), the moving average reaches 33.32 with individual episode scores peaking above 80, and the replay loss — after an initial rise and a peak around the same 1,500–2,000-episode region where the policy is changing fastest — decays to a comparatively low and stable 0.0272.</w:t>
      </w:r>
    </w:p>
    <w:p>
      <w:pPr>
        <w:spacing w:after="160" w:line="300" w:lineRule="auto"/>
        <w:jc w:val="both"/>
      </w:pPr>
      <w:r>
        <w:rPr>
          <w:rFonts w:ascii="Arial" w:cs="Arial" w:eastAsia="Arial" w:hAnsi="Arial"/>
          <w:sz w:val="22"/>
          <w:szCs w:val="22"/>
        </w:rPr>
        <w:t xml:space="preserve">A methodological note is warranted when interpreting the loss curve: unlike supervised learning, a falling or stabilizing TD loss in DQN does not by itself certify an improving policy, because the regression target is itself produced by a network that is being updated (and only periodically frozen via the target network). The loss curve in Figure 2 is therefore best read as evidence that the optimization process has stabilized — the network's predictions are no longer chasing a rapidly shifting target — while the moving-average score remains the primary measure of policy quality.</w:t>
      </w:r>
    </w:p>
    <w:p>
      <w:pPr>
        <w:pStyle w:val="Heading2"/>
        <w:spacing w:after="160" w:before="280"/>
      </w:pPr>
      <w:r>
        <w:rPr>
          <w:rFonts w:ascii="Arial" w:cs="Arial" w:eastAsia="Arial" w:hAnsi="Arial"/>
        </w:rPr>
        <w:t xml:space="preserve">8.3 Comparative Summary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2660"/>
        <w:gridCol w:w="1500"/>
        <w:gridCol w:w="1200"/>
        <w:gridCol w:w="1200"/>
        <w:gridCol w:w="1200"/>
      </w:tblGrid>
      <w:tr>
        <w:trPr>
          <w:tblHeader/>
        </w:trPr>
        <w:tc>
          <w:tcPr>
            <w:tcW w:type="dxa" w:w="2600"/>
            <w:tcBorders>
              <w:top w:val="single" w:color="BFBFBF" w:sz="2"/>
              <w:left w:val="single" w:color="BFBFBF" w:sz="2"/>
              <w:bottom w:val="single" w:color="BFBFBF" w:sz="2"/>
              <w:right w:val="single" w:color="BFBFBF" w:sz="2"/>
            </w:tcBorders>
            <w:shd w:fill="2E5E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Configuration</w:t>
            </w:r>
          </w:p>
        </w:tc>
        <w:tc>
          <w:tcPr>
            <w:tcW w:type="dxa" w:w="2660"/>
            <w:tcBorders>
              <w:top w:val="single" w:color="BFBFBF" w:sz="2"/>
              <w:left w:val="single" w:color="BFBFBF" w:sz="2"/>
              <w:bottom w:val="single" w:color="BFBFBF" w:sz="2"/>
              <w:right w:val="single" w:color="BFBFBF" w:sz="2"/>
            </w:tcBorders>
            <w:shd w:fill="2E5E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c>
          <w:tcPr>
            <w:tcW w:type="dxa" w:w="1500"/>
            <w:tcBorders>
              <w:top w:val="single" w:color="BFBFBF" w:sz="2"/>
              <w:left w:val="single" w:color="BFBFBF" w:sz="2"/>
              <w:bottom w:val="single" w:color="BFBFBF" w:sz="2"/>
              <w:right w:val="single" w:color="BFBFBF" w:sz="2"/>
            </w:tcBorders>
            <w:shd w:fill="2E5E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Moving avg. (final)</w:t>
            </w:r>
          </w:p>
        </w:tc>
        <w:tc>
          <w:tcPr>
            <w:tcW w:type="dxa" w:w="1200"/>
            <w:tcBorders>
              <w:top w:val="single" w:color="BFBFBF" w:sz="2"/>
              <w:left w:val="single" w:color="BFBFBF" w:sz="2"/>
              <w:bottom w:val="single" w:color="BFBFBF" w:sz="2"/>
              <w:right w:val="single" w:color="BFBFBF" w:sz="2"/>
            </w:tcBorders>
            <w:shd w:fill="2E5E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Peak score</w:t>
            </w:r>
          </w:p>
        </w:tc>
        <w:tc>
          <w:tcPr>
            <w:tcW w:type="dxa" w:w="1200"/>
            <w:tcBorders>
              <w:top w:val="single" w:color="BFBFBF" w:sz="2"/>
              <w:left w:val="single" w:color="BFBFBF" w:sz="2"/>
              <w:bottom w:val="single" w:color="BFBFBF" w:sz="2"/>
              <w:right w:val="single" w:color="BFBFBF" w:sz="2"/>
            </w:tcBorders>
            <w:shd w:fill="2E5E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Final loss</w:t>
            </w:r>
          </w:p>
        </w:tc>
        <w:tc>
          <w:tcPr>
            <w:tcW w:type="dxa" w:w="1200"/>
            <w:tcBorders>
              <w:top w:val="single" w:color="BFBFBF" w:sz="2"/>
              <w:left w:val="single" w:color="BFBFBF" w:sz="2"/>
              <w:bottom w:val="single" w:color="BFBFBF" w:sz="2"/>
              <w:right w:val="single" w:color="BFBFBF" w:sz="2"/>
            </w:tcBorders>
            <w:shd w:fill="2E5E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Episodes</w:t>
            </w:r>
          </w:p>
        </w:tc>
      </w:tr>
      <w:tr>
        <w:tc>
          <w:tcPr>
            <w:tcW w:type="dxa" w:w="26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V1 — linear baseline (historical)</w:t>
            </w:r>
          </w:p>
        </w:tc>
        <w:tc>
          <w:tcPr>
            <w:tcW w:type="dxa" w:w="266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Training_Dashboard_v1.png</w:t>
            </w:r>
          </w:p>
        </w:tc>
        <w:tc>
          <w:tcPr>
            <w:tcW w:type="dxa" w:w="15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19.7</w:t>
            </w:r>
          </w:p>
        </w:tc>
        <w:tc>
          <w:tcPr>
            <w:tcW w:type="dxa" w:w="12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~50</w:t>
            </w:r>
          </w:p>
        </w:tc>
        <w:tc>
          <w:tcPr>
            <w:tcW w:type="dxa" w:w="12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0.8965</w:t>
            </w:r>
          </w:p>
        </w:tc>
        <w:tc>
          <w:tcPr>
            <w:tcW w:type="dxa" w:w="12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~420</w:t>
            </w:r>
          </w:p>
        </w:tc>
      </w:tr>
      <w:tr>
        <w:tc>
          <w:tcPr>
            <w:tcW w:type="dxa" w:w="26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V2 — current implementation</w:t>
            </w:r>
          </w:p>
        </w:tc>
        <w:tc>
          <w:tcPr>
            <w:tcW w:type="dxa" w:w="266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Training_Dashboard_v2.png</w:t>
            </w:r>
          </w:p>
        </w:tc>
        <w:tc>
          <w:tcPr>
            <w:tcW w:type="dxa" w:w="15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33.32</w:t>
            </w:r>
          </w:p>
        </w:tc>
        <w:tc>
          <w:tcPr>
            <w:tcW w:type="dxa" w:w="12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&gt;80</w:t>
            </w:r>
          </w:p>
        </w:tc>
        <w:tc>
          <w:tcPr>
            <w:tcW w:type="dxa" w:w="12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0.0272</w:t>
            </w:r>
          </w:p>
        </w:tc>
        <w:tc>
          <w:tcPr>
            <w:tcW w:type="dxa" w:w="12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~5,900</w:t>
            </w:r>
          </w:p>
        </w:tc>
      </w:tr>
    </w:tbl>
    <w:p>
      <w:pPr>
        <w:spacing w:after="280"/>
        <w:jc w:val="center"/>
      </w:pPr>
      <w:r>
        <w:rPr>
          <w:rFonts w:ascii="Arial" w:cs="Arial" w:eastAsia="Arial" w:hAnsi="Arial"/>
          <w:i/>
          <w:iCs/>
          <w:color w:val="555555"/>
          <w:sz w:val="19"/>
          <w:szCs w:val="19"/>
        </w:rPr>
        <w:t xml:space="preserve">Table 4. Headline metrics for the historical baseline and the current implementation, read directly from the saved dashboards.</w:t>
      </w:r>
    </w:p>
    <w:p>
      <w:pPr>
        <w:spacing w:after="160" w:line="300" w:lineRule="auto"/>
        <w:jc w:val="both"/>
      </w:pPr>
      <w:r>
        <w:rPr>
          <w:rFonts w:ascii="Arial" w:cs="Arial" w:eastAsia="Arial" w:hAnsi="Arial"/>
          <w:sz w:val="22"/>
          <w:szCs w:val="22"/>
        </w:rPr>
        <w:t xml:space="preserve">The current implementation roughly 1.7×'s the historical baseline's moving-average score and exceeds its peak score by more than 60%, at the cost of approximately 14× more training episodes — consistent with the report's central claim that trading state simplicity for a richer, dual-channel spatial representation raises the achievable performance ceiling while increasing the amount of experience the agent needs to exploit it.</w:t>
      </w:r>
    </w:p>
    <w:p>
      <w:pPr>
        <w:pStyle w:val="Heading2"/>
        <w:spacing w:after="160" w:before="280"/>
      </w:pPr>
      <w:r>
        <w:rPr>
          <w:rFonts w:ascii="Arial" w:cs="Arial" w:eastAsia="Arial" w:hAnsi="Arial"/>
        </w:rPr>
        <w:t xml:space="preserve">8.4 Retained Experimental Variants</w:t>
      </w:r>
    </w:p>
    <w:p>
      <w:pPr>
        <w:spacing w:after="160" w:line="300" w:lineRule="auto"/>
        <w:jc w:val="both"/>
      </w:pPr>
      <w:r>
        <w:rPr>
          <w:rFonts w:ascii="Arial" w:cs="Arial" w:eastAsia="Arial" w:hAnsi="Arial"/>
          <w:sz w:val="22"/>
          <w:szCs w:val="22"/>
        </w:rPr>
        <w:t xml:space="preserve">The repository's visualizations/ directory also retains dashboards from two additional training runs — Training_Dashboard_v2_biger_nn.png and v3_part1.png — that do not correspond to any architecture currently present in model.py. No source code differentiating these runs from the final configuration remains in the repository, so the exact hyperparameter or architectural changes behind them cannot be reconstructed from the code; they are reported below strictly as historical artifacts of the project's iterative tuning process, read directly from their saved images.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600"/>
        <w:gridCol w:w="1320"/>
        <w:gridCol w:w="1280"/>
      </w:tblGrid>
      <w:tr>
        <w:trPr>
          <w:tblHeader/>
        </w:trPr>
        <w:tc>
          <w:tcPr>
            <w:tcW w:type="dxa" w:w="3600"/>
            <w:tcBorders>
              <w:top w:val="single" w:color="BFBFBF" w:sz="2"/>
              <w:left w:val="single" w:color="BFBFBF" w:sz="2"/>
              <w:bottom w:val="single" w:color="BFBFBF" w:sz="2"/>
              <w:right w:val="single" w:color="BFBFBF" w:sz="2"/>
            </w:tcBorders>
            <w:shd w:fill="2E5E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Run</w:t>
            </w:r>
          </w:p>
        </w:tc>
        <w:tc>
          <w:tcPr>
            <w:tcW w:type="dxa" w:w="1920"/>
            <w:tcBorders>
              <w:top w:val="single" w:color="BFBFBF" w:sz="2"/>
              <w:left w:val="single" w:color="BFBFBF" w:sz="2"/>
              <w:bottom w:val="single" w:color="BFBFBF" w:sz="2"/>
              <w:right w:val="single" w:color="BFBFBF" w:sz="2"/>
            </w:tcBorders>
            <w:shd w:fill="2E5E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Moving avg. (final)</w:t>
            </w:r>
          </w:p>
        </w:tc>
        <w:tc>
          <w:tcPr>
            <w:tcW w:type="dxa" w:w="1600"/>
            <w:tcBorders>
              <w:top w:val="single" w:color="BFBFBF" w:sz="2"/>
              <w:left w:val="single" w:color="BFBFBF" w:sz="2"/>
              <w:bottom w:val="single" w:color="BFBFBF" w:sz="2"/>
              <w:right w:val="single" w:color="BFBFBF" w:sz="2"/>
            </w:tcBorders>
            <w:shd w:fill="2E5E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Final raw score</w:t>
            </w:r>
          </w:p>
        </w:tc>
        <w:tc>
          <w:tcPr>
            <w:tcW w:type="dxa" w:w="1320"/>
            <w:tcBorders>
              <w:top w:val="single" w:color="BFBFBF" w:sz="2"/>
              <w:left w:val="single" w:color="BFBFBF" w:sz="2"/>
              <w:bottom w:val="single" w:color="BFBFBF" w:sz="2"/>
              <w:right w:val="single" w:color="BFBFBF" w:sz="2"/>
            </w:tcBorders>
            <w:shd w:fill="2E5E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Final loss</w:t>
            </w:r>
          </w:p>
        </w:tc>
        <w:tc>
          <w:tcPr>
            <w:tcW w:type="dxa" w:w="1280"/>
            <w:tcBorders>
              <w:top w:val="single" w:color="BFBFBF" w:sz="2"/>
              <w:left w:val="single" w:color="BFBFBF" w:sz="2"/>
              <w:bottom w:val="single" w:color="BFBFBF" w:sz="2"/>
              <w:right w:val="single" w:color="BFBFBF" w:sz="2"/>
            </w:tcBorders>
            <w:shd w:fill="2E5E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Episodes (approx.)</w:t>
            </w:r>
          </w:p>
        </w:tc>
      </w:tr>
      <w:tr>
        <w:tc>
          <w:tcPr>
            <w:tcW w:type="dxa" w:w="36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Larger-network variant</w:t>
            </w:r>
          </w:p>
        </w:tc>
        <w:tc>
          <w:tcPr>
            <w:tcW w:type="dxa" w:w="192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28.86</w:t>
            </w:r>
          </w:p>
        </w:tc>
        <w:tc>
          <w:tcPr>
            <w:tcW w:type="dxa" w:w="16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19</w:t>
            </w:r>
          </w:p>
        </w:tc>
        <w:tc>
          <w:tcPr>
            <w:tcW w:type="dxa" w:w="132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0.0475</w:t>
            </w:r>
          </w:p>
        </w:tc>
        <w:tc>
          <w:tcPr>
            <w:tcW w:type="dxa" w:w="128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~4,900</w:t>
            </w:r>
          </w:p>
        </w:tc>
      </w:tr>
      <w:tr>
        <w:tc>
          <w:tcPr>
            <w:tcW w:type="dxa" w:w="36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“v3” variant</w:t>
            </w:r>
          </w:p>
        </w:tc>
        <w:tc>
          <w:tcPr>
            <w:tcW w:type="dxa" w:w="192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30.38</w:t>
            </w:r>
          </w:p>
        </w:tc>
        <w:tc>
          <w:tcPr>
            <w:tcW w:type="dxa" w:w="16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28</w:t>
            </w:r>
          </w:p>
        </w:tc>
        <w:tc>
          <w:tcPr>
            <w:tcW w:type="dxa" w:w="132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0.1031</w:t>
            </w:r>
          </w:p>
        </w:tc>
        <w:tc>
          <w:tcPr>
            <w:tcW w:type="dxa" w:w="128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~5,400</w:t>
            </w:r>
          </w:p>
        </w:tc>
      </w:tr>
    </w:tbl>
    <w:p>
      <w:pPr>
        <w:spacing w:after="280"/>
        <w:jc w:val="center"/>
      </w:pPr>
      <w:r>
        <w:rPr>
          <w:rFonts w:ascii="Arial" w:cs="Arial" w:eastAsia="Arial" w:hAnsi="Arial"/>
          <w:i/>
          <w:iCs/>
          <w:color w:val="555555"/>
          <w:sz w:val="19"/>
          <w:szCs w:val="19"/>
        </w:rPr>
        <w:t xml:space="preserve">Table 5. Metrics from two retained but superseded experimental runs, for context only.</w:t>
      </w:r>
    </w:p>
    <w:p>
      <w:pPr>
        <w:spacing w:after="160" w:line="300" w:lineRule="auto"/>
        <w:jc w:val="both"/>
      </w:pPr>
      <w:r>
        <w:rPr>
          <w:rFonts w:ascii="Arial" w:cs="Arial" w:eastAsia="Arial" w:hAnsi="Arial"/>
          <w:sz w:val="22"/>
          <w:szCs w:val="22"/>
        </w:rPr>
        <w:t xml:space="preserve">Notably, the larger-network variant achieved a lower moving average (28.86) than the final, smaller-or-equal configuration that shipped in model.py (33.32), despite the project's own README stating that earlier experiments indicated the board's spatial complexity “demanded a significantly larger and deeper model.” Two explanations are consistent with the available evidence and cannot be distinguished from the saved dashboards alone: the larger-network run may simply have been stopped roughly 1,000 episodes earlier than the final run and had not yet converged, or the additional capacity may have been net-negative for this task at the given training budget. Either way, the data shows that increased parameter count alone did not monotonically improve outcomes in this project's own experiments, which is a useful, code-grounded caution against assuming “bigger is better” without controlling for training duration.</w:t>
      </w:r>
    </w:p>
    <w:p>
      <w:pPr>
        <w:pStyle w:val="Heading1"/>
        <w:spacing w:after="200" w:before="360"/>
      </w:pPr>
      <w:r>
        <w:rPr>
          <w:rFonts w:ascii="Arial" w:cs="Arial" w:eastAsia="Arial" w:hAnsi="Arial"/>
        </w:rPr>
        <w:t xml:space="preserve">9. Cross-Cutting Design Trade-offs</w:t>
      </w:r>
    </w:p>
    <w:p>
      <w:pPr>
        <w:spacing w:after="160" w:line="300" w:lineRule="auto"/>
        <w:jc w:val="both"/>
      </w:pPr>
      <w:r>
        <w:rPr>
          <w:rFonts w:ascii="Arial" w:cs="Arial" w:eastAsia="Arial" w:hAnsi="Arial"/>
          <w:sz w:val="22"/>
          <w:szCs w:val="22"/>
        </w:rPr>
        <w:t xml:space="preserve">Several decisions documented in earlier sections interact in ways that are worth drawing together explicitly.</w:t>
      </w:r>
    </w:p>
    <w:p>
      <w:pPr>
        <w:pStyle w:val="Heading3"/>
        <w:spacing w:after="120" w:before="220"/>
      </w:pPr>
      <w:r>
        <w:rPr>
          <w:rFonts w:ascii="Arial" w:cs="Arial" w:eastAsia="Arial" w:hAnsi="Arial"/>
        </w:rPr>
        <w:t xml:space="preserve">Capacity is concentrated where it is least needed for this board size.</w:t>
      </w:r>
    </w:p>
    <w:p>
      <w:pPr>
        <w:spacing w:after="160" w:line="300" w:lineRule="auto"/>
        <w:jc w:val="both"/>
      </w:pPr>
      <w:r>
        <w:rPr>
          <w:rFonts w:ascii="Arial" w:cs="Arial" w:eastAsia="Arial" w:hAnsi="Arial"/>
          <w:sz w:val="22"/>
          <w:szCs w:val="22"/>
        </w:rPr>
        <w:t xml:space="preserve">As quantified in Section 5.1, over 99% of the network's parameters sit in fully connected layers rather than the convolutional feature extractor, with a single layer responsible for 84.3% of the total. For a 24×32 cell board, this is a heavy parameterization relative to the input's information content, and the Section 8.4 comparison suggests the project's own experiments did not find a clear benefit from going even larger — a strong signal that future iterations could profitably explore reducing the flatten→dense bottleneck (e.g. via global average pooling) without sacrificing performance.</w:t>
      </w:r>
    </w:p>
    <w:p>
      <w:pPr>
        <w:pStyle w:val="Heading3"/>
        <w:spacing w:after="120" w:before="220"/>
      </w:pPr>
      <w:r>
        <w:rPr>
          <w:rFonts w:ascii="Arial" w:cs="Arial" w:eastAsia="Arial" w:hAnsi="Arial"/>
        </w:rPr>
        <w:t xml:space="preserve">The action space is absolute in representation but effectively relative in practice.</w:t>
      </w:r>
    </w:p>
    <w:p>
      <w:pPr>
        <w:spacing w:after="160" w:line="300" w:lineRule="auto"/>
        <w:jc w:val="both"/>
      </w:pPr>
      <w:r>
        <w:rPr>
          <w:rFonts w:ascii="Arial" w:cs="Arial" w:eastAsia="Arial" w:hAnsi="Arial"/>
          <w:sz w:val="22"/>
          <w:szCs w:val="22"/>
        </w:rPr>
        <w:t xml:space="preserve">Section 3.1 and Section 6.4 together show that while the network's output layer represents four unambiguous absolute directions, the 180°-reversal mask collapses the real per-step decision to three options, mirroring the baseline's relative 3-action design while retaining the interpretability benefits of an absolute encoding for both the agent's own action-selection logic and any external analysis of its choices.</w:t>
      </w:r>
    </w:p>
    <w:p>
      <w:pPr>
        <w:pStyle w:val="Heading3"/>
        <w:spacing w:after="120" w:before="220"/>
      </w:pPr>
      <w:r>
        <w:rPr>
          <w:rFonts w:ascii="Arial" w:cs="Arial" w:eastAsia="Arial" w:hAnsi="Arial"/>
        </w:rPr>
        <w:t xml:space="preserve">Reward shaping discourages, but does not strictly forbid, unproductive movement.</w:t>
      </w:r>
    </w:p>
    <w:p>
      <w:pPr>
        <w:spacing w:after="160" w:line="300" w:lineRule="auto"/>
        <w:jc w:val="both"/>
      </w:pPr>
      <w:r>
        <w:rPr>
          <w:rFonts w:ascii="Arial" w:cs="Arial" w:eastAsia="Arial" w:hAnsi="Arial"/>
          <w:sz w:val="22"/>
          <w:szCs w:val="22"/>
        </w:rPr>
        <w:t xml:space="preserve">The 2:1 asymmetry between the distance-based penalty (−0.2) and reward (+0.1) described in Section 3.3 means that any cycle of moves which returns the snake to a previous distance-to-food incurs a small net loss, nudging the policy away from indefinite loitering without explicitly detecting or banning loops at the environment level.</w:t>
      </w:r>
    </w:p>
    <w:p>
      <w:pPr>
        <w:pStyle w:val="Heading3"/>
        <w:spacing w:after="120" w:before="220"/>
      </w:pPr>
      <w:r>
        <w:rPr>
          <w:rFonts w:ascii="Arial" w:cs="Arial" w:eastAsia="Arial" w:hAnsi="Arial"/>
        </w:rPr>
        <w:t xml:space="preserve">Algorithmic simplicity was chosen over established refinements.</w:t>
      </w:r>
    </w:p>
    <w:p>
      <w:pPr>
        <w:spacing w:after="160" w:line="300" w:lineRule="auto"/>
        <w:jc w:val="both"/>
      </w:pPr>
      <w:r>
        <w:rPr>
          <w:rFonts w:ascii="Arial" w:cs="Arial" w:eastAsia="Arial" w:hAnsi="Arial"/>
          <w:sz w:val="22"/>
          <w:szCs w:val="22"/>
        </w:rPr>
        <w:t xml:space="preserve">The agent uses vanilla DQN with a target network rather than Double DQN (Section 6.1), and uniform random sampling from replay rather than prioritized replay (Section 6.3). Both are well-understood, easy-to-debug choices that nonetheless leave known, literature-documented improvements (reduced overestimation bias; faster learning from rare high-value transitions) on the table as natural next steps rather than as gaps in the current implementation's correctness.</w:t>
      </w:r>
    </w:p>
    <w:p>
      <w:pPr>
        <w:pStyle w:val="Heading1"/>
        <w:spacing w:after="200" w:before="360"/>
      </w:pPr>
      <w:r>
        <w:rPr>
          <w:rFonts w:ascii="Arial" w:cs="Arial" w:eastAsia="Arial" w:hAnsi="Arial"/>
        </w:rPr>
        <w:t xml:space="preserve">10. Limitations and Future Work</w:t>
      </w:r>
    </w:p>
    <w:p>
      <w:pPr>
        <w:spacing w:after="160" w:line="300" w:lineRule="auto"/>
        <w:jc w:val="both"/>
      </w:pPr>
      <w:r>
        <w:rPr>
          <w:rFonts w:ascii="Arial" w:cs="Arial" w:eastAsia="Arial" w:hAnsi="Arial"/>
          <w:sz w:val="22"/>
          <w:szCs w:val="22"/>
        </w:rPr>
        <w:t xml:space="preserve">The following limitations are observed directly in the current codebase and saved artifacts, rather than inferred from outside knowledge of the project:</w:t>
      </w:r>
    </w:p>
    <w:p>
      <w:pPr>
        <w:pStyle w:val="ListParagraph"/>
        <w:numPr>
          <w:ilvl w:val="0"/>
          <w:numId w:val="2"/>
        </w:numPr>
        <w:spacing w:after="100" w:line="300" w:lineRule="auto"/>
      </w:pPr>
      <w:r>
        <w:rPr>
          <w:rFonts w:ascii="Arial" w:cs="Arial" w:eastAsia="Arial" w:hAnsi="Arial"/>
          <w:sz w:val="22"/>
          <w:szCs w:val="22"/>
        </w:rPr>
        <w:t xml:space="preserve">No persisted training state: only network weights are checkpointed; the episode counter, the exploration schedule's position, and the replay buffer's contents are all lost between runs, and resuming uses a hardcoded episode count rather than a restored one (Section 6.5).</w:t>
      </w:r>
    </w:p>
    <w:p>
      <w:pPr>
        <w:pStyle w:val="ListParagraph"/>
        <w:numPr>
          <w:ilvl w:val="0"/>
          <w:numId w:val="2"/>
        </w:numPr>
        <w:spacing w:after="100" w:line="300" w:lineRule="auto"/>
      </w:pPr>
      <w:r>
        <w:rPr>
          <w:rFonts w:ascii="Arial" w:cs="Arial" w:eastAsia="Arial" w:hAnsi="Arial"/>
          <w:sz w:val="22"/>
          <w:szCs w:val="22"/>
        </w:rPr>
        <w:t xml:space="preserve">No dedicated evaluation pass: every reported score is generated while the agent is still in its training loop, so even at the end of a run, scores are read off a dashboard built from training-time rollouts rather than from a separate, fixed-seed, ε = 0 evaluation suite.</w:t>
      </w:r>
    </w:p>
    <w:p>
      <w:pPr>
        <w:pStyle w:val="ListParagraph"/>
        <w:numPr>
          <w:ilvl w:val="0"/>
          <w:numId w:val="2"/>
        </w:numPr>
        <w:spacing w:after="100" w:line="300" w:lineRule="auto"/>
      </w:pPr>
      <w:r>
        <w:rPr>
          <w:rFonts w:ascii="Arial" w:cs="Arial" w:eastAsia="Arial" w:hAnsi="Arial"/>
          <w:sz w:val="22"/>
          <w:szCs w:val="22"/>
        </w:rPr>
        <w:t xml:space="preserve">Single-seed reporting: each dashboard in visualizations/ represents one realization of one training run; no repeated-seed statistics (mean/variance across runs) are computed anywhere in the codebase.</w:t>
      </w:r>
    </w:p>
    <w:p>
      <w:pPr>
        <w:pStyle w:val="ListParagraph"/>
        <w:numPr>
          <w:ilvl w:val="0"/>
          <w:numId w:val="2"/>
        </w:numPr>
        <w:spacing w:after="100" w:line="300" w:lineRule="auto"/>
      </w:pPr>
      <w:r>
        <w:rPr>
          <w:rFonts w:ascii="Arial" w:cs="Arial" w:eastAsia="Arial" w:hAnsi="Arial"/>
          <w:sz w:val="22"/>
          <w:szCs w:val="22"/>
        </w:rPr>
        <w:t xml:space="preserve">No headless training mode: wall-clock training speed is coupled to the Pygame rendering/timing loop (Section 7.5).</w:t>
      </w:r>
    </w:p>
    <w:p>
      <w:pPr>
        <w:pStyle w:val="ListParagraph"/>
        <w:numPr>
          <w:ilvl w:val="0"/>
          <w:numId w:val="2"/>
        </w:numPr>
        <w:spacing w:after="100" w:line="300" w:lineRule="auto"/>
      </w:pPr>
      <w:r>
        <w:rPr>
          <w:rFonts w:ascii="Arial" w:cs="Arial" w:eastAsia="Arial" w:hAnsi="Arial"/>
          <w:sz w:val="22"/>
          <w:szCs w:val="22"/>
        </w:rPr>
        <w:t xml:space="preserve">Incomplete dependency manifest: torch is not declared in requirements.txt despite being required to run any part of the system (Section 7.4).</w:t>
      </w:r>
    </w:p>
    <w:p>
      <w:pPr>
        <w:spacing w:after="160" w:line="300" w:lineRule="auto"/>
        <w:jc w:val="both"/>
      </w:pPr>
      <w:r>
        <w:rPr>
          <w:rFonts w:ascii="Arial" w:cs="Arial" w:eastAsia="Arial" w:hAnsi="Arial"/>
          <w:sz w:val="22"/>
          <w:szCs w:val="22"/>
        </w:rPr>
        <w:t xml:space="preserve">Building on the trade-offs identified in Section 9, natural directions for future work — none of which are implemented in the current code — include adopting Double DQN to address the overestimation bias inherent to the current target computation, introducing prioritized experience replay in place of uniform sampling, replacing the flatten→dense bottleneck identified in Section 5.1 with a global-average-pooling head to reduce parameter count, and adding a lightweight structured logging mechanism (even a CSV of per-episode metrics) so that future training runs do not depend on a live Matplotlib window as their only record.</w:t>
      </w:r>
    </w:p>
    <w:p>
      <w:pPr>
        <w:pStyle w:val="Heading1"/>
        <w:spacing w:after="200" w:before="360"/>
      </w:pPr>
      <w:r>
        <w:rPr>
          <w:rFonts w:ascii="Arial" w:cs="Arial" w:eastAsia="Arial" w:hAnsi="Arial"/>
        </w:rPr>
        <w:t xml:space="preserve">11. Conclusion</w:t>
      </w:r>
    </w:p>
    <w:p>
      <w:pPr>
        <w:spacing w:after="160" w:line="300" w:lineRule="auto"/>
        <w:jc w:val="both"/>
      </w:pPr>
      <w:r>
        <w:rPr>
          <w:rFonts w:ascii="Arial" w:cs="Arial" w:eastAsia="Arial" w:hAnsi="Arial"/>
          <w:sz w:val="22"/>
          <w:szCs w:val="22"/>
        </w:rPr>
        <w:t xml:space="preserve">The current implementation replaces a narrow, one-step-lookahead state representation with a dual-input design that pairs a three-channel spatial tensor against a compact logical reflex vector, fused late inside a convolutional network trained with standard DQN, a Huber loss, and a hybrid of per-step online updates and end-of-episode experience replay. Measured against the project's own saved training records, this redesign raises the 50-episode moving-average score from 19.7 to 33.32 and the peak observed score from approximately 50 to over 80, at the cost of roughly an order of magnitude more training episodes and a network whose parameter budget is dominated by its fully connected compression stage rather than its convolutional layers. Every claim in this report traces to a specific file, function, or saved artifact in the repository, and the limitations identified in Section 10 are presented as concrete, code-grounded opportunities for continued iteration rather than as defects in an otherwise complete system.</w:t>
      </w:r>
    </w:p>
    <w:p>
      <w:r>
        <w:br w:type="page"/>
      </w:r>
    </w:p>
    <w:p>
      <w:pPr>
        <w:pStyle w:val="Heading1"/>
        <w:spacing w:after="200" w:before="360"/>
      </w:pPr>
      <w:r>
        <w:rPr>
          <w:rFonts w:ascii="Arial" w:cs="Arial" w:eastAsia="Arial" w:hAnsi="Arial"/>
        </w:rPr>
        <w:t xml:space="preserve">Appendix A: Hyperparameter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BFBFBF" w:sz="2"/>
              <w:left w:val="single" w:color="BFBFBF" w:sz="2"/>
              <w:bottom w:val="single" w:color="BFBFBF" w:sz="2"/>
              <w:right w:val="single" w:color="BFBFBF" w:sz="2"/>
            </w:tcBorders>
            <w:shd w:fill="2E5E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4160"/>
            <w:tcBorders>
              <w:top w:val="single" w:color="BFBFBF" w:sz="2"/>
              <w:left w:val="single" w:color="BFBFBF" w:sz="2"/>
              <w:bottom w:val="single" w:color="BFBFBF" w:sz="2"/>
              <w:right w:val="single" w:color="BFBFBF" w:sz="2"/>
            </w:tcBorders>
            <w:shd w:fill="2E5E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w:t>
            </w:r>
          </w:p>
        </w:tc>
        <w:tc>
          <w:tcPr>
            <w:tcW w:type="dxa" w:w="2000"/>
            <w:tcBorders>
              <w:top w:val="single" w:color="BFBFBF" w:sz="2"/>
              <w:left w:val="single" w:color="BFBFBF" w:sz="2"/>
              <w:bottom w:val="single" w:color="BFBFBF" w:sz="2"/>
              <w:right w:val="single" w:color="BFBFBF" w:sz="2"/>
            </w:tcBorders>
            <w:shd w:fill="2E5E8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Defined in</w:t>
            </w:r>
          </w:p>
        </w:tc>
      </w:tr>
      <w:tr>
        <w:tc>
          <w:tcPr>
            <w:tcW w:type="dxa" w:w="32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Replay buffer capacity (MAX_MEMORY)</w:t>
            </w:r>
          </w:p>
        </w:tc>
        <w:tc>
          <w:tcPr>
            <w:tcW w:type="dxa" w:w="416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100,000 transitions</w:t>
            </w:r>
          </w:p>
        </w:tc>
        <w:tc>
          <w:tcPr>
            <w:tcW w:type="dxa" w:w="20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agent.py</w:t>
            </w:r>
          </w:p>
        </w:tc>
      </w:tr>
      <w:tr>
        <w:tc>
          <w:tcPr>
            <w:tcW w:type="dxa" w:w="32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Replay batch size (BATCH_SIZE)</w:t>
            </w:r>
          </w:p>
        </w:tc>
        <w:tc>
          <w:tcPr>
            <w:tcW w:type="dxa" w:w="416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256</w:t>
            </w:r>
          </w:p>
        </w:tc>
        <w:tc>
          <w:tcPr>
            <w:tcW w:type="dxa" w:w="20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agent.py</w:t>
            </w:r>
          </w:p>
        </w:tc>
      </w:tr>
      <w:tr>
        <w:tc>
          <w:tcPr>
            <w:tcW w:type="dxa" w:w="32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Learning rate (LR)</w:t>
            </w:r>
          </w:p>
        </w:tc>
        <w:tc>
          <w:tcPr>
            <w:tcW w:type="dxa" w:w="416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1×10⁻⁴ (Adam)</w:t>
            </w:r>
          </w:p>
        </w:tc>
        <w:tc>
          <w:tcPr>
            <w:tcW w:type="dxa" w:w="20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agent.py</w:t>
            </w:r>
          </w:p>
        </w:tc>
      </w:tr>
      <w:tr>
        <w:tc>
          <w:tcPr>
            <w:tcW w:type="dxa" w:w="32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Discount factor (γ)</w:t>
            </w:r>
          </w:p>
        </w:tc>
        <w:tc>
          <w:tcPr>
            <w:tcW w:type="dxa" w:w="416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0.9</w:t>
            </w:r>
          </w:p>
        </w:tc>
        <w:tc>
          <w:tcPr>
            <w:tcW w:type="dxa" w:w="20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agent.py</w:t>
            </w:r>
          </w:p>
        </w:tc>
      </w:tr>
      <w:tr>
        <w:tc>
          <w:tcPr>
            <w:tcW w:type="dxa" w:w="32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Target network sync interval</w:t>
            </w:r>
          </w:p>
        </w:tc>
        <w:tc>
          <w:tcPr>
            <w:tcW w:type="dxa" w:w="416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every 1,000 environment steps</w:t>
            </w:r>
          </w:p>
        </w:tc>
        <w:tc>
          <w:tcPr>
            <w:tcW w:type="dxa" w:w="20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agent.py (train())</w:t>
            </w:r>
          </w:p>
        </w:tc>
      </w:tr>
      <w:tr>
        <w:tc>
          <w:tcPr>
            <w:tcW w:type="dxa" w:w="32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Exploration floor</w:t>
            </w:r>
          </w:p>
        </w:tc>
        <w:tc>
          <w:tcPr>
            <w:tcW w:type="dxa" w:w="416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0.02 (games 4,000–5,000); 0 (games &gt; 5,000)</w:t>
            </w:r>
          </w:p>
        </w:tc>
        <w:tc>
          <w:tcPr>
            <w:tcW w:type="dxa" w:w="20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agent.py (get_action())</w:t>
            </w:r>
          </w:p>
        </w:tc>
      </w:tr>
      <w:tr>
        <w:tc>
          <w:tcPr>
            <w:tcW w:type="dxa" w:w="32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Exploration decay</w:t>
            </w:r>
          </w:p>
        </w:tc>
        <w:tc>
          <w:tcPr>
            <w:tcW w:type="dxa" w:w="416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ε = 1 − num_games/4000 (games 0–4,000)</w:t>
            </w:r>
          </w:p>
        </w:tc>
        <w:tc>
          <w:tcPr>
            <w:tcW w:type="dxa" w:w="20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agent.py (get_action())</w:t>
            </w:r>
          </w:p>
        </w:tc>
      </w:tr>
      <w:tr>
        <w:tc>
          <w:tcPr>
            <w:tcW w:type="dxa" w:w="32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Board size</w:t>
            </w:r>
          </w:p>
        </w:tc>
        <w:tc>
          <w:tcPr>
            <w:tcW w:type="dxa" w:w="416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1280×960 px = 32×24 cells (BLOCK_SIZE = 40)</w:t>
            </w:r>
          </w:p>
        </w:tc>
        <w:tc>
          <w:tcPr>
            <w:tcW w:type="dxa" w:w="20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game.py</w:t>
            </w:r>
          </w:p>
        </w:tc>
      </w:tr>
      <w:tr>
        <w:tc>
          <w:tcPr>
            <w:tcW w:type="dxa" w:w="32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Rendering rate (SPEED)</w:t>
            </w:r>
          </w:p>
        </w:tc>
        <w:tc>
          <w:tcPr>
            <w:tcW w:type="dxa" w:w="416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175 (clock ticks/sec)</w:t>
            </w:r>
          </w:p>
        </w:tc>
        <w:tc>
          <w:tcPr>
            <w:tcW w:type="dxa" w:w="20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game.py</w:t>
            </w:r>
          </w:p>
        </w:tc>
      </w:tr>
      <w:tr>
        <w:tc>
          <w:tcPr>
            <w:tcW w:type="dxa" w:w="32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Food reward</w:t>
            </w:r>
          </w:p>
        </w:tc>
        <w:tc>
          <w:tcPr>
            <w:tcW w:type="dxa" w:w="416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+10</w:t>
            </w:r>
          </w:p>
        </w:tc>
        <w:tc>
          <w:tcPr>
            <w:tcW w:type="dxa" w:w="20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game.py (play_step())</w:t>
            </w:r>
          </w:p>
        </w:tc>
      </w:tr>
      <w:tr>
        <w:tc>
          <w:tcPr>
            <w:tcW w:type="dxa" w:w="32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Terminal penalty</w:t>
            </w:r>
          </w:p>
        </w:tc>
        <w:tc>
          <w:tcPr>
            <w:tcW w:type="dxa" w:w="416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−10</w:t>
            </w:r>
          </w:p>
        </w:tc>
        <w:tc>
          <w:tcPr>
            <w:tcW w:type="dxa" w:w="20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game.py (play_step())</w:t>
            </w:r>
          </w:p>
        </w:tc>
      </w:tr>
      <w:tr>
        <w:tc>
          <w:tcPr>
            <w:tcW w:type="dxa" w:w="32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Distance-shaping reward / penalty</w:t>
            </w:r>
          </w:p>
        </w:tc>
        <w:tc>
          <w:tcPr>
            <w:tcW w:type="dxa" w:w="416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+0.1 / −0.2</w:t>
            </w:r>
          </w:p>
        </w:tc>
        <w:tc>
          <w:tcPr>
            <w:tcW w:type="dxa" w:w="20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game.py (play_step())</w:t>
            </w:r>
          </w:p>
        </w:tc>
      </w:tr>
      <w:tr>
        <w:tc>
          <w:tcPr>
            <w:tcW w:type="dxa" w:w="32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Episode timeout</w:t>
            </w:r>
          </w:p>
        </w:tc>
        <w:tc>
          <w:tcPr>
            <w:tcW w:type="dxa" w:w="416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768 × len(snake) frames</w:t>
            </w:r>
          </w:p>
        </w:tc>
        <w:tc>
          <w:tcPr>
            <w:tcW w:type="dxa" w:w="20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game.py (play_step())</w:t>
            </w:r>
          </w:p>
        </w:tc>
      </w:tr>
      <w:tr>
        <w:tc>
          <w:tcPr>
            <w:tcW w:type="dxa" w:w="32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Dropout probability</w:t>
            </w:r>
          </w:p>
        </w:tc>
        <w:tc>
          <w:tcPr>
            <w:tcW w:type="dxa" w:w="416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0.2</w:t>
            </w:r>
          </w:p>
        </w:tc>
        <w:tc>
          <w:tcPr>
            <w:tcW w:type="dxa" w:w="2000"/>
            <w:tcBorders>
              <w:top w:val="single" w:color="BFBFBF" w:sz="2"/>
              <w:left w:val="single" w:color="BFBFBF" w:sz="2"/>
              <w:bottom w:val="single" w:color="BFBFBF" w:sz="2"/>
              <w:right w:val="single" w:color="BFBFBF" w:sz="2"/>
            </w:tcBorders>
            <w:shd w:fill="F4F7FA" w:val="clear"/>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model.py (Conv_QNet)</w:t>
            </w:r>
          </w:p>
        </w:tc>
      </w:tr>
      <w:tr>
        <w:tc>
          <w:tcPr>
            <w:tcW w:type="dxa" w:w="32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Loss function</w:t>
            </w:r>
          </w:p>
        </w:tc>
        <w:tc>
          <w:tcPr>
            <w:tcW w:type="dxa" w:w="416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SmoothL1Loss (Huber)</w:t>
            </w:r>
          </w:p>
        </w:tc>
        <w:tc>
          <w:tcPr>
            <w:tcW w:type="dxa" w:w="2000"/>
            <w:tcBorders>
              <w:top w:val="single" w:color="BFBFBF" w:sz="2"/>
              <w:left w:val="single" w:color="BFBFBF" w:sz="2"/>
              <w:bottom w:val="single" w:color="BFBFBF" w:sz="2"/>
              <w:right w:val="single" w:color="BFBFBF" w:sz="2"/>
            </w:tcBorders>
            <w:tcMar>
              <w:top w:type="dxa" w:w="70"/>
              <w:left w:type="dxa" w:w="120"/>
              <w:bottom w:type="dxa" w:w="70"/>
              <w:right w:type="dxa" w:w="120"/>
            </w:tcMar>
            <w:vAlign w:val="center"/>
          </w:tcPr>
          <w:p>
            <w:pPr>
              <w:jc w:val="left"/>
            </w:pPr>
            <w:r>
              <w:rPr>
                <w:rFonts w:ascii="Arial" w:cs="Arial" w:eastAsia="Arial" w:hAnsi="Arial"/>
                <w:b w:val="false"/>
                <w:bCs w:val="false"/>
                <w:sz w:val="19"/>
                <w:szCs w:val="19"/>
              </w:rPr>
              <w:t xml:space="preserve">model.py (QTrainer)</w:t>
            </w:r>
          </w:p>
        </w:tc>
      </w:tr>
    </w:tbl>
    <w:p>
      <w:r>
        <w:br w:type="page"/>
      </w:r>
    </w:p>
    <w:p>
      <w:pPr>
        <w:pStyle w:val="Heading1"/>
        <w:spacing w:after="200" w:before="360"/>
      </w:pPr>
      <w:r>
        <w:rPr>
          <w:rFonts w:ascii="Arial" w:cs="Arial" w:eastAsia="Arial" w:hAnsi="Arial"/>
        </w:rPr>
        <w:t xml:space="preserve">Appendix B: Repository Structure</w:t>
      </w:r>
    </w:p>
    <w:p>
      <w:pPr>
        <w:shd w:fill="F2F2F2" w:val="clear"/>
        <w:spacing w:after="0"/>
      </w:pPr>
      <w:r>
        <w:rPr>
          <w:rFonts w:ascii="Consolas" w:cs="Consolas" w:eastAsia="Consolas" w:hAnsi="Consolas"/>
          <w:sz w:val="19"/>
          <w:szCs w:val="19"/>
        </w:rPr>
        <w:t xml:space="preserve">RF-Snake-game/</w:t>
      </w:r>
    </w:p>
    <w:p>
      <w:pPr>
        <w:shd w:fill="F2F2F2" w:val="clear"/>
        <w:spacing w:after="0"/>
      </w:pPr>
      <w:r>
        <w:rPr>
          <w:rFonts w:ascii="Consolas" w:cs="Consolas" w:eastAsia="Consolas" w:hAnsi="Consolas"/>
          <w:sz w:val="19"/>
          <w:szCs w:val="19"/>
        </w:rPr>
        <w:t xml:space="preserve">├── src/</w:t>
      </w:r>
    </w:p>
    <w:p>
      <w:pPr>
        <w:shd w:fill="F2F2F2" w:val="clear"/>
        <w:spacing w:after="0"/>
      </w:pPr>
      <w:r>
        <w:rPr>
          <w:rFonts w:ascii="Consolas" w:cs="Consolas" w:eastAsia="Consolas" w:hAnsi="Consolas"/>
          <w:sz w:val="19"/>
          <w:szCs w:val="19"/>
        </w:rPr>
        <w:t xml:space="preserve">│   ├── agent.py        # Agent, dual state construction, training loop</w:t>
      </w:r>
    </w:p>
    <w:p>
      <w:pPr>
        <w:shd w:fill="F2F2F2" w:val="clear"/>
        <w:spacing w:after="0"/>
      </w:pPr>
      <w:r>
        <w:rPr>
          <w:rFonts w:ascii="Consolas" w:cs="Consolas" w:eastAsia="Consolas" w:hAnsi="Consolas"/>
          <w:sz w:val="19"/>
          <w:szCs w:val="19"/>
        </w:rPr>
        <w:t xml:space="preserve">│   ├── model.py        # Conv_QNet network and QTrainer</w:t>
      </w:r>
    </w:p>
    <w:p>
      <w:pPr>
        <w:shd w:fill="F2F2F2" w:val="clear"/>
        <w:spacing w:after="0"/>
      </w:pPr>
      <w:r>
        <w:rPr>
          <w:rFonts w:ascii="Consolas" w:cs="Consolas" w:eastAsia="Consolas" w:hAnsi="Consolas"/>
          <w:sz w:val="19"/>
          <w:szCs w:val="19"/>
        </w:rPr>
        <w:t xml:space="preserve">│   ├── game.py         # SnakeGameAi environment</w:t>
      </w:r>
    </w:p>
    <w:p>
      <w:pPr>
        <w:shd w:fill="F2F2F2" w:val="clear"/>
        <w:spacing w:after="0"/>
      </w:pPr>
      <w:r>
        <w:rPr>
          <w:rFonts w:ascii="Consolas" w:cs="Consolas" w:eastAsia="Consolas" w:hAnsi="Consolas"/>
          <w:sz w:val="19"/>
          <w:szCs w:val="19"/>
        </w:rPr>
        <w:t xml:space="preserve">│   └── helper.py       # Live Matplotlib training dashboard</w:t>
      </w:r>
    </w:p>
    <w:p>
      <w:pPr>
        <w:shd w:fill="F2F2F2" w:val="clear"/>
        <w:spacing w:after="0"/>
      </w:pPr>
      <w:r>
        <w:rPr>
          <w:rFonts w:ascii="Consolas" w:cs="Consolas" w:eastAsia="Consolas" w:hAnsi="Consolas"/>
          <w:sz w:val="19"/>
          <w:szCs w:val="19"/>
        </w:rPr>
        <w:t xml:space="preserve">├── documentation/      # Project report and presentation slides</w:t>
      </w:r>
    </w:p>
    <w:p>
      <w:pPr>
        <w:shd w:fill="F2F2F2" w:val="clear"/>
        <w:spacing w:after="0"/>
      </w:pPr>
      <w:r>
        <w:rPr>
          <w:rFonts w:ascii="Consolas" w:cs="Consolas" w:eastAsia="Consolas" w:hAnsi="Consolas"/>
          <w:sz w:val="19"/>
          <w:szCs w:val="19"/>
        </w:rPr>
        <w:t xml:space="preserve">├── visualizations/     # Saved training-dashboard PNGs and gameplay GIFs</w:t>
      </w:r>
    </w:p>
    <w:p>
      <w:pPr>
        <w:shd w:fill="F2F2F2" w:val="clear"/>
        <w:spacing w:after="0"/>
      </w:pPr>
      <w:r>
        <w:rPr>
          <w:rFonts w:ascii="Consolas" w:cs="Consolas" w:eastAsia="Consolas" w:hAnsi="Consolas"/>
          <w:sz w:val="19"/>
          <w:szCs w:val="19"/>
        </w:rPr>
        <w:t xml:space="preserve">├── model/              # Saved checkpoint(s) (model.pth, excluded from git)</w:t>
      </w:r>
    </w:p>
    <w:p>
      <w:pPr>
        <w:shd w:fill="F2F2F2" w:val="clear"/>
        <w:spacing w:after="0"/>
      </w:pPr>
      <w:r>
        <w:rPr>
          <w:rFonts w:ascii="Consolas" w:cs="Consolas" w:eastAsia="Consolas" w:hAnsi="Consolas"/>
          <w:sz w:val="19"/>
          <w:szCs w:val="19"/>
        </w:rPr>
        <w:t xml:space="preserve">├── requirements.txt    # Python dependencies (see Section 7.4)</w:t>
      </w:r>
    </w:p>
    <w:p>
      <w:pPr>
        <w:shd w:fill="F2F2F2" w:val="clear"/>
        <w:spacing w:after="160"/>
      </w:pPr>
      <w:r>
        <w:rPr>
          <w:rFonts w:ascii="Consolas" w:cs="Consolas" w:eastAsia="Consolas" w:hAnsi="Consolas"/>
          <w:sz w:val="19"/>
          <w:szCs w:val="19"/>
        </w:rPr>
        <w:t xml:space="preserve">└── README.md</w:t>
      </w:r>
    </w:p>
    <w:p>
      <w:pPr>
        <w:spacing w:after="160" w:line="300" w:lineRule="auto"/>
        <w:jc w:val="both"/>
      </w:pPr>
      <w:r>
        <w:rPr>
          <w:rFonts w:ascii="Arial" w:cs="Arial" w:eastAsia="Arial" w:hAnsi="Arial"/>
          <w:sz w:val="22"/>
          <w:szCs w:val="22"/>
        </w:rPr>
        <w:t xml:space="preserve">Source: README.md and direct inspection of the repository archive. The model/ directory is excluded from version control via .gitignore and is created at runtime by Conv_QNet.save() on the first new best score.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888888"/>
        <w:sz w:val="16"/>
        <w:szCs w:val="16"/>
      </w:rPr>
      <w:t xml:space="preserve">Deep RL for Snake — Implementation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E8C" w:sz="8"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E8C"/>
      <w:sz w:val="26"/>
      <w:szCs w:val="26"/>
    </w:rPr>
  </w:style>
  <w:style w:type="paragraph" w:styleId="Heading3">
    <w:name w:val="Heading 3"/>
    <w:basedOn w:val="Normal"/>
    <w:next w:val="Normal"/>
    <w:qFormat/>
    <w:pPr>
      <w:spacing w:after="120" w:before="220"/>
      <w:outlineLvl w:val="2"/>
    </w:pPr>
    <w:rPr>
      <w:rFonts w:ascii="Arial" w:cs="Arial" w:eastAsia="Arial" w:hAnsi="Arial"/>
      <w:b/>
      <w:bCs/>
      <w:i/>
      <w:iCs/>
      <w:color w:val="2E5E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0lz-81mpdlquzzb2r1y3" Type="http://schemas.openxmlformats.org/officeDocument/2006/relationships/hyperlink" Target="https://github.com/nadav0912/RF-Snake-game.git" TargetMode="External"/><Relationship Id="rId9" Type="http://schemas.openxmlformats.org/officeDocument/2006/relationships/image" Target="media/f13f750bab76552cfe7f734d622688ef865c0ee2.png"/><Relationship Id="rId10" Type="http://schemas.openxmlformats.org/officeDocument/2006/relationships/image" Target="media/1a3dc2634a0a8799e16c52ca82ce58f8f1ba56c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Reinforcement Learning for Autonomous Snake Gameplay</dc:title>
  <dc:creator>Nadav Izhaki, Lior Yanwo</dc:creator>
  <cp:lastModifiedBy>Un-named</cp:lastModifiedBy>
  <cp:revision>1</cp:revision>
  <dcterms:created xsi:type="dcterms:W3CDTF">2026-06-30T21:27:32.035Z</dcterms:created>
  <dcterms:modified xsi:type="dcterms:W3CDTF">2026-06-30T21:27:32.035Z</dcterms:modified>
</cp:coreProperties>
</file>

<file path=docProps/custom.xml><?xml version="1.0" encoding="utf-8"?>
<Properties xmlns="http://schemas.openxmlformats.org/officeDocument/2006/custom-properties" xmlns:vt="http://schemas.openxmlformats.org/officeDocument/2006/docPropsVTypes"/>
</file>