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 w:line="336" w:lineRule="auto"/>
        <w:jc w:val="right"/>
      </w:pPr>
      <w:r>
        <w:rPr>
          <w:rFonts w:ascii="David" w:hAnsi="David"/>
          <w:rFonts w:cs="David" w:ascii="David" w:hAnsi="David"/>
          <w:b/>
          <w:i w:val="0"/>
          <w:color w:val="8B6F2E"/>
          <w:sz w:val="44"/>
          <w:rtl/>
        </w:rPr>
        <w:t>האוצר שבעליית הגג</w:t>
      </w:r>
    </w:p>
    <w:p>
      <w:pPr>
        <w:bidi/>
        <w:spacing w:after="360" w:line="336" w:lineRule="auto"/>
        <w:jc w:val="right"/>
      </w:pPr>
      <w:r>
        <w:rPr>
          <w:rFonts w:ascii="David" w:hAnsi="David"/>
          <w:rFonts w:cs="David" w:ascii="David" w:hAnsi="David"/>
          <w:b w:val="0"/>
          <w:i/>
          <w:color w:val="555555"/>
          <w:sz w:val="24"/>
          <w:rtl/>
        </w:rPr>
        <w:t>אלף שנים של חיים יהודיים שהשתמרו בעיוורון מקודש — סיפורה של גניזת קהיר</w:t>
      </w:r>
    </w:p>
    <w:p>
      <w:pPr>
        <w:bidi/>
        <w:spacing w:after="160" w:line="336" w:lineRule="auto"/>
        <w:ind w:firstLine="283"/>
        <w:jc w:val="both"/>
      </w:pPr>
      <w:r>
        <w:rPr>
          <w:rFonts w:ascii="David" w:hAnsi="David"/>
          <w:rFonts w:cs="David" w:ascii="David" w:hAnsi="David"/>
          <w:b w:val="0"/>
          <w:i w:val="0"/>
          <w:sz w:val="24"/>
          <w:rtl/>
        </w:rPr>
        <w:t>כשהחוקר הסקוטי שלמה זלמן שכטר נכנס בשנת 1896 אל חדר אפלולי בעליית הגג של בית הכנסת בן עזרא בפוסטאט, היא קהיר העתיקה, הוא תיאר אחר כך את מראה עיניו במילה אחת: "חורבות". מולו עמד תל של דפים, כתבי יד, פיסות פפירוס וקלף, מצבור שצמח לאיטו במשך תשע מאות שנה. בני הקהילה, שהאמינו כי כל פיסת נייר הנושאת את שם ה' אסור להשמידה, השליכו אל ה‫גניזה‬ — חדר־הגניזה — את כל מה שלא ידעו מה לעשות איתו: ספרי קודש בלים, חוזי סוחרים, רשימות כביסה, מכתבי אהבה, חשבונות חתונה, כתבי תפילה. הם לא תיכננו ארכיון. הם יצרו את הארכיון החשוב ביותר של החיים היהודיים בימי הביניים.</w:t>
      </w:r>
    </w:p>
    <w:p>
      <w:pPr>
        <w:bidi/>
        <w:spacing w:after="240" w:line="336" w:lineRule="auto"/>
        <w:ind w:firstLine="340"/>
        <w:jc w:val="right"/>
      </w:pPr>
      <w:r>
        <w:rPr>
          <w:rFonts w:ascii="David" w:hAnsi="David"/>
          <w:rFonts w:cs="David" w:ascii="David" w:hAnsi="David"/>
          <w:b w:val="0"/>
          <w:i/>
          <w:color w:val="665533"/>
          <w:sz w:val="24"/>
          <w:rtl/>
        </w:rPr>
        <w:t>„ים של חורבות” — כך תיאר שכטר את הרגע שבו פתח לראשונה את דלת הגניזה. תוך עשור היה ברור שמדובר באחד הגילויים הגדולים של המזרחנות המודרנית.</w:t>
      </w:r>
    </w:p>
    <w:p>
      <w:pPr>
        <w:bidi/>
        <w:spacing w:after="120" w:line="336" w:lineRule="auto"/>
        <w:jc w:val="right"/>
      </w:pPr>
      <w:r>
        <w:rPr>
          <w:rFonts w:ascii="David" w:hAnsi="David"/>
          <w:rFonts w:cs="David" w:ascii="David" w:hAnsi="David"/>
          <w:b/>
          <w:i w:val="0"/>
          <w:color w:val="333333"/>
          <w:sz w:val="30"/>
          <w:rtl/>
        </w:rPr>
        <w:t>כיצד שורד נייר תשע מאות שנה</w:t>
      </w:r>
    </w:p>
    <w:p>
      <w:pPr>
        <w:bidi/>
        <w:spacing w:after="160" w:line="336" w:lineRule="auto"/>
        <w:ind w:firstLine="283"/>
        <w:jc w:val="both"/>
      </w:pPr>
      <w:r>
        <w:rPr>
          <w:rFonts w:ascii="David" w:hAnsi="David"/>
          <w:rFonts w:cs="David" w:ascii="David" w:hAnsi="David"/>
          <w:b w:val="0"/>
          <w:i w:val="0"/>
          <w:sz w:val="24"/>
          <w:rtl/>
        </w:rPr>
        <w:t>פוסטאט נבנתה בשנת 641 לספירה, אחרי הכיבוש המוסלמי של מצרים, ובית הכנסת בן עזרא — אולי כבר במאה התשיעית — הפך למרכזם של היהודים הרבניים (ה„רבנים”) שעלו אליו מסוריה, מבבל ומצפון אפריקה. האקלים המצרי היבש הוא שעשה את הנס הפיזי: הקלף והנייר, שאלפי קילומטרים צפונה היו מעלים עובש בתוך עונה, השתמרו כאן כמעט בלא פגע. הנס הדתי השלים את הראשון: האיסור ההלכתי להשמיד את שם ה' שמר לא רק על דפי תלמוד וסידורים, אלא גם על שטרות, חוזים ופנקסים שכל פיסה מהם פותחת בנוסחה „ב‚h שמיה רחמנא” או „בסם אללה”. וכך, מבלי שאיש תכנן זאת, ניצלה גם המציאות החילונית, יום־יומית עד היסוד, של קהילה יהודית שלמה.</w:t>
      </w:r>
    </w:p>
    <w:p>
      <w:pPr>
        <w:bidi/>
        <w:spacing w:after="120" w:line="336" w:lineRule="auto"/>
        <w:jc w:val="right"/>
      </w:pPr>
      <w:r>
        <w:rPr>
          <w:rFonts w:ascii="David" w:hAnsi="David"/>
          <w:rFonts w:cs="David" w:ascii="David" w:hAnsi="David"/>
          <w:b/>
          <w:i w:val="0"/>
          <w:color w:val="333333"/>
          <w:sz w:val="30"/>
          <w:rtl/>
        </w:rPr>
        <w:t>מה גילה שכטר — ומה ממשיכים לגלות מאז</w:t>
      </w:r>
    </w:p>
    <w:p>
      <w:pPr>
        <w:bidi/>
        <w:spacing w:after="160" w:line="336" w:lineRule="auto"/>
        <w:ind w:firstLine="283"/>
        <w:jc w:val="both"/>
      </w:pPr>
      <w:r>
        <w:rPr>
          <w:rFonts w:ascii="David" w:hAnsi="David"/>
          <w:rFonts w:cs="David" w:ascii="David" w:hAnsi="David"/>
          <w:b w:val="0"/>
          <w:i w:val="0"/>
          <w:sz w:val="24"/>
          <w:rtl/>
        </w:rPr>
        <w:t>שכטר הביא לקיימברידג' כ־190,000 קטעים, שהם היום „אוסף טיילור־שכטר”. אוספים נוספים פוזרו בעשרות ספריות בעולם — בסט‫פיטרסבורג‬, בניו יורק, בפילדלפיה, באוקספורד. בסך הכול מתועדים היום כ־400,000 קטעים, ופרויקט הגניזה של אוניברסיטת פרינסטון מנהל קטלוג מקיף שבו 35,924 רשומות פעילות. ביניהן:</w:t>
      </w:r>
    </w:p>
    <w:p>
      <w:pPr>
        <w:bidi/>
        <w:spacing w:after="160" w:line="336" w:lineRule="auto"/>
        <w:jc w:val="both"/>
      </w:pPr>
      <w:r>
        <w:rPr>
          <w:rFonts w:ascii="David" w:hAnsi="David"/>
          <w:rFonts w:cs="David" w:ascii="David" w:hAnsi="David"/>
          <w:b w:val="0"/>
          <w:i w:val="0"/>
          <w:sz w:val="24"/>
          <w:rtl/>
        </w:rPr>
        <w:t>• המקור העברי האבוד של ספר בן סירא, שעד אז היה ידוע רק מתרגומים יווניים וסוריים — ועתה נמצאו פיסות מקוריות בכתב יד עברי.</w:t>
      </w:r>
    </w:p>
    <w:p>
      <w:pPr>
        <w:bidi/>
        <w:spacing w:after="160" w:line="336" w:lineRule="auto"/>
        <w:jc w:val="both"/>
      </w:pPr>
      <w:r>
        <w:rPr>
          <w:rFonts w:ascii="David" w:hAnsi="David"/>
          <w:rFonts w:cs="David" w:ascii="David" w:hAnsi="David"/>
          <w:b w:val="0"/>
          <w:i w:val="0"/>
          <w:sz w:val="24"/>
          <w:rtl/>
        </w:rPr>
        <w:t>• טיוטות מקוריות בכתב ידו של הרמב”‫ם‬ — שורות שמחק, מילים שתיקן, ולעיתים פסקאות שלמות שלא הגיעו לנוסח הסופי של ה„משנה תורה”.</w:t>
      </w:r>
    </w:p>
    <w:p>
      <w:pPr>
        <w:bidi/>
        <w:spacing w:after="160" w:line="336" w:lineRule="auto"/>
        <w:jc w:val="both"/>
      </w:pPr>
      <w:r>
        <w:rPr>
          <w:rFonts w:ascii="David" w:hAnsi="David"/>
          <w:rFonts w:cs="David" w:ascii="David" w:hAnsi="David"/>
          <w:b w:val="0"/>
          <w:i w:val="0"/>
          <w:sz w:val="24"/>
          <w:rtl/>
        </w:rPr>
        <w:t>• איגרות סוחרים שקשרו את הים התיכון להודו במסחר תבלינים, משי וזהב, ובהן יומני מסע, הסכמי שותפות וקינות על ספינות שטבעו בים סוף.</w:t>
      </w:r>
    </w:p>
    <w:p>
      <w:pPr>
        <w:bidi/>
        <w:spacing w:after="160" w:line="336" w:lineRule="auto"/>
        <w:jc w:val="both"/>
      </w:pPr>
      <w:r>
        <w:rPr>
          <w:rFonts w:ascii="David" w:hAnsi="David"/>
          <w:rFonts w:cs="David" w:ascii="David" w:hAnsi="David"/>
          <w:b w:val="0"/>
          <w:i w:val="0"/>
          <w:sz w:val="24"/>
          <w:rtl/>
        </w:rPr>
        <w:t>• פיוטים אבודים, ובהם של רב סעדיה גאון ושל ר' יהודה הלוי, שורות שלא הגיעו לדורות הבאים מלבד דרך הגניזה.</w:t>
      </w:r>
    </w:p>
    <w:p>
      <w:pPr>
        <w:bidi/>
        <w:spacing w:after="280" w:line="336" w:lineRule="auto"/>
        <w:jc w:val="both"/>
      </w:pPr>
      <w:r>
        <w:rPr>
          <w:rFonts w:ascii="David" w:hAnsi="David"/>
          <w:rFonts w:cs="David" w:ascii="David" w:hAnsi="David"/>
          <w:b w:val="0"/>
          <w:i w:val="0"/>
          <w:sz w:val="24"/>
          <w:rtl/>
        </w:rPr>
        <w:t>• תשובות הגאונים מסורא ופומבדיתא — מאות שאלות הלכתיות שנשלחו מקהילות הים התיכון אל בבל, וקיבלו מענה שהכריע מנהגים שעדיין מהדהדים בבתי המדרש.</w:t>
      </w:r>
    </w:p>
    <w:p>
      <w:pPr>
        <w:bidi/>
        <w:spacing w:after="120" w:line="336" w:lineRule="auto"/>
        <w:jc w:val="right"/>
      </w:pPr>
      <w:r>
        <w:rPr>
          <w:rFonts w:ascii="David" w:hAnsi="David"/>
          <w:rFonts w:cs="David" w:ascii="David" w:hAnsi="David"/>
          <w:b/>
          <w:i w:val="0"/>
          <w:color w:val="333333"/>
          <w:sz w:val="30"/>
          <w:rtl/>
        </w:rPr>
        <w:t>ארבעה דפים, ארבעה חיים</w:t>
      </w:r>
    </w:p>
    <w:p>
      <w:pPr>
        <w:bidi/>
        <w:spacing w:after="160" w:line="336" w:lineRule="auto"/>
        <w:ind w:firstLine="283"/>
        <w:jc w:val="both"/>
      </w:pPr>
      <w:r>
        <w:rPr>
          <w:rFonts w:ascii="David" w:hAnsi="David"/>
          <w:rFonts w:cs="David" w:ascii="David" w:hAnsi="David"/>
          <w:b w:val="0"/>
          <w:i w:val="0"/>
          <w:sz w:val="24"/>
          <w:rtl/>
        </w:rPr>
        <w:t>אם רוצים להבין מה היא הגניזה — לא כסטטיסטיקה אלא כמרקם — צריך לרדת מן הסקירה אל המסמכים עצמם. ארבעה רישומים מתוך הקטלוג הפרינסטוני, שנבחרו לא מפני שהם חריגים אלא דווקא מפני שהם רגילים:</w:t>
      </w:r>
    </w:p>
    <w:p>
      <w:pPr>
        <w:bidi/>
        <w:spacing w:after="120" w:line="336" w:lineRule="auto"/>
        <w:jc w:val="right"/>
      </w:pPr>
      <w:r>
        <w:rPr>
          <w:rFonts w:ascii="David" w:hAnsi="David"/>
          <w:rFonts w:cs="David" w:ascii="David" w:hAnsi="David"/>
          <w:b/>
          <w:i w:val="0"/>
          <w:color w:val="333333"/>
          <w:sz w:val="30"/>
          <w:rtl/>
        </w:rPr>
        <w:t>1. כתובה משכונה ביהודית, המאה האחת־עשרה</w:t>
      </w:r>
    </w:p>
    <w:p>
      <w:pPr>
        <w:bidi/>
        <w:spacing w:after="160" w:line="336" w:lineRule="auto"/>
        <w:jc w:val="both"/>
      </w:pPr>
      <w:r>
        <w:rPr>
          <w:rFonts w:ascii="David" w:hAnsi="David"/>
          <w:rFonts w:cs="David" w:ascii="David" w:hAnsi="David"/>
          <w:b w:val="0"/>
          <w:i w:val="0"/>
          <w:sz w:val="24"/>
          <w:rtl/>
        </w:rPr>
        <w:t>„חתן: אברהם בן יפת. מוהר: 16 דינרים. עדים: מצליח בן שמואל, אליעזר בן אברהם החבר, יוסף בן שמואל”. שלוש שורות יבשות בקצה פיסת קלף — וזהו תיעוד היחיד הקיים לחתונה שנערכה בקהיר לפני קרוב לאלף שנה. השמות מצביעים על קהילה שלמה: יפת ומצליח הם שמות הגירה אופייניים מצפון אפריקה, „alchaver” („החבר”) הוא תואר תלמודי לתלמיד חכם בכיר, ושישה־עשר דינרים הם סכום בינוני־מעלה — בערך שכרו השנתי של אומן.</w:t>
      </w:r>
    </w:p>
    <w:p>
      <w:pPr>
        <w:bidi/>
        <w:spacing w:after="120" w:line="336" w:lineRule="auto"/>
        <w:jc w:val="right"/>
      </w:pPr>
      <w:r>
        <w:rPr>
          <w:rFonts w:ascii="David" w:hAnsi="David"/>
          <w:rFonts w:cs="David" w:ascii="David" w:hAnsi="David"/>
          <w:b/>
          <w:i w:val="0"/>
          <w:color w:val="333333"/>
          <w:sz w:val="30"/>
          <w:rtl/>
        </w:rPr>
        <w:t>2. שטר נאמנות ליתומות</w:t>
      </w:r>
    </w:p>
    <w:p>
      <w:pPr>
        <w:bidi/>
        <w:spacing w:after="160" w:line="336" w:lineRule="auto"/>
        <w:jc w:val="both"/>
      </w:pPr>
      <w:r>
        <w:rPr>
          <w:rFonts w:ascii="David" w:hAnsi="David"/>
          <w:rFonts w:cs="David" w:ascii="David" w:hAnsi="David"/>
          <w:b w:val="0"/>
          <w:i w:val="0"/>
          <w:sz w:val="24"/>
          <w:rtl/>
        </w:rPr>
        <w:t>מסמך בכתב השופט נתן ב"ר שמואל מתעד הסכם שבו זכריה בן חלפון „קיבל 50 דינרים מכספים שייכים לשתי יתומות, לשמור עד שיהיו מוכנות לאירוסין. היה עליו למשכן את דירתו ואת חלקו בבית כבטוחה”. כך פעלה רשת הסעד של הקהילה: לא כצדקה ערטילאית, אלא כחוזה עם בטוחות וקנס, שמושך את הנדבן והאפוטרופוס לאחריות משפטית מלאה. שתי הילדות אינן מופיעות בשמן — אבל שום פסק דין מודרני אינו מחייב את החותם עליו לסכן את ביתו כפי שעשה זכריה.</w:t>
      </w:r>
    </w:p>
    <w:p>
      <w:pPr>
        <w:bidi/>
        <w:spacing w:after="120" w:line="336" w:lineRule="auto"/>
        <w:jc w:val="right"/>
      </w:pPr>
      <w:r>
        <w:rPr>
          <w:rFonts w:ascii="David" w:hAnsi="David"/>
          <w:rFonts w:cs="David" w:ascii="David" w:hAnsi="David"/>
          <w:b/>
          <w:i w:val="0"/>
          <w:color w:val="333333"/>
          <w:sz w:val="30"/>
          <w:rtl/>
        </w:rPr>
        <w:t>3. מכתב משפחתי — „למה אינך שולח כסף הביתה?”</w:t>
      </w:r>
    </w:p>
    <w:p>
      <w:pPr>
        <w:bidi/>
        <w:spacing w:after="160" w:line="336" w:lineRule="auto"/>
        <w:jc w:val="both"/>
      </w:pPr>
      <w:r>
        <w:rPr>
          <w:rFonts w:ascii="David" w:hAnsi="David"/>
          <w:rFonts w:cs="David" w:ascii="David" w:hAnsi="David"/>
          <w:b w:val="0"/>
          <w:i w:val="0"/>
          <w:sz w:val="24"/>
          <w:rtl/>
        </w:rPr>
        <w:t>במכתב אנונימי בערבית־יהודית, אישה כותבת לבעלה אברהים שיצא לעיר אחרת לפרנסה. כותב הקטלוג מסכם בעדינות: „נראה שהנמען מוּכָּה על היעדרותו הממושכת וסכומי הכסף הדלים שהוא שולח הביתה לפרנס את אשתו”. מתחת ליובש האקדמי מתחבא טון אחר לגמרי — אישה זועמת, קהילה ערבה, חמותו של אברהים שולחת לחץ בלתי־ישיר. בסוף המכתב היא מבקשת ממנו שישלח חיטה לפסח. מאומה לא השתנה באלף השנים האחרונות.</w:t>
      </w:r>
    </w:p>
    <w:p>
      <w:pPr>
        <w:bidi/>
        <w:spacing w:after="120" w:line="336" w:lineRule="auto"/>
        <w:jc w:val="right"/>
      </w:pPr>
      <w:r>
        <w:rPr>
          <w:rFonts w:ascii="David" w:hAnsi="David"/>
          <w:rFonts w:cs="David" w:ascii="David" w:hAnsi="David"/>
          <w:b/>
          <w:i w:val="0"/>
          <w:color w:val="333333"/>
          <w:sz w:val="30"/>
          <w:rtl/>
        </w:rPr>
        <w:t>4. סוחר־ברזל בים סוף</w:t>
      </w:r>
    </w:p>
    <w:p>
      <w:pPr>
        <w:bidi/>
        <w:spacing w:after="360" w:line="336" w:lineRule="auto"/>
        <w:jc w:val="both"/>
      </w:pPr>
      <w:r>
        <w:rPr>
          <w:rFonts w:ascii="David" w:hAnsi="David"/>
          <w:rFonts w:cs="David" w:ascii="David" w:hAnsi="David"/>
          <w:b w:val="0"/>
          <w:i w:val="0"/>
          <w:sz w:val="24"/>
          <w:rtl/>
        </w:rPr>
        <w:t>יפת בן מנשה הלוי כותב לאחיו חלפון, סוחר עתי הודי שפעל בין השנים 1100–1138, ומדווח על משלוח: חתיכת פלדה („פולאד”), מזרן טברי, ושמן מנמל א־דמוּחַ. „על הנמען למכור אותה ולקנות שמן לדמוח מן התמורה”. מאחורי השורה הקצרה הזו עומדת רשת מסחר ענקית: יהודי קהיר ייצאו פלדה לעדן, ייבאו תבלינים מהודו, גלגלו רווחים בנמלי הים האדום והים התיכון. ההיסטוריון ש"ד גוייטיין הקדיש לאיגרות הללו חמישה כרכים שלמים, וכינה את התופעה „החברה הים־תיכונית”.</w:t>
      </w:r>
    </w:p>
    <w:p>
      <w:pPr>
        <w:bidi/>
        <w:spacing w:after="120" w:line="336" w:lineRule="auto"/>
        <w:jc w:val="right"/>
      </w:pPr>
      <w:r>
        <w:rPr>
          <w:rFonts w:ascii="David" w:hAnsi="David"/>
          <w:rFonts w:cs="David" w:ascii="David" w:hAnsi="David"/>
          <w:b/>
          <w:i w:val="0"/>
          <w:color w:val="333333"/>
          <w:sz w:val="30"/>
          <w:rtl/>
        </w:rPr>
        <w:t>„התלמיד”: עיליים ובולטים בקהילת הגניזה</w:t>
      </w:r>
    </w:p>
    <w:p>
      <w:pPr>
        <w:bidi/>
        <w:spacing w:after="160" w:line="336" w:lineRule="auto"/>
        <w:ind w:firstLine="283"/>
        <w:jc w:val="both"/>
      </w:pPr>
      <w:r>
        <w:rPr>
          <w:rFonts w:ascii="David" w:hAnsi="David"/>
          <w:rFonts w:cs="David" w:ascii="David" w:hAnsi="David"/>
          <w:b w:val="0"/>
          <w:i w:val="0"/>
          <w:sz w:val="24"/>
          <w:rtl/>
        </w:rPr>
        <w:t>אחת ההפתעות שמזמן הקטלוג היא שהמילה „תלמיד” אינה תיאור של תפקיד אלא תואר־כבוד ממש. בעשרות מסמכים מופיעים אנשים שהשם המלא שלהם הוא „פלוני בן פלוני התלמיד”, ובאחד המכתבים נשמר אפילו צירוף נדיר עוד יותר: „שלמה ‚התלמיד השר’”. התואר ניתן למי שהיה שייך לחוג הצעיר־המבריק של הישיבה — תלמיד מתקדם שזכה כבר להכרה כמלומד עצמאי, אך טרם מונה לדיין או לחבר. במונחים של ימינו: דוקטורנט מצטיין שכבר מפרסם, אבל עדיין לפני הקתדרה.</w:t>
      </w:r>
    </w:p>
    <w:p>
      <w:pPr>
        <w:bidi/>
        <w:spacing w:after="160" w:line="336" w:lineRule="auto"/>
        <w:ind w:firstLine="283"/>
        <w:jc w:val="both"/>
      </w:pPr>
      <w:r>
        <w:rPr>
          <w:rFonts w:ascii="David" w:hAnsi="David"/>
          <w:rFonts w:cs="David" w:ascii="David" w:hAnsi="David"/>
          <w:b w:val="0"/>
          <w:i w:val="0"/>
          <w:sz w:val="24"/>
          <w:rtl/>
        </w:rPr>
        <w:t>הקהילה דאגה לאנשים האלה באופן שיטתי. בחשבון ההקדש של פוסטאט מכ־1213 מופיע סעיף קבוע — „שכר תלמידי חכמים” — לצד הוצאות לתיקון בית הכנסת ולחלוקת מזון לעניים, ובו דינר אחד שתרם הנגיד אברהם מיימוני בעצמו. בצוואת שכיב־מרע של יפת הלוי מדמשק מוקדש שליש מפרדס שבכפר חמוריה, „הכנסותיהם ייועדו לרכישת מזון לתלמידי חכמים”. לימוד תורה ברמה גבוהה לא נחשב, בעולם של הגניזה, כעיסוק שכל אדם בריא יכול לעמוד בו לבדו: הוא היה השקעה ציבורית.</w:t>
      </w:r>
    </w:p>
    <w:p>
      <w:pPr>
        <w:bidi/>
        <w:spacing w:after="120" w:line="336" w:lineRule="auto"/>
        <w:jc w:val="right"/>
      </w:pPr>
      <w:r>
        <w:rPr>
          <w:rFonts w:ascii="David" w:hAnsi="David"/>
          <w:rFonts w:cs="David" w:ascii="David" w:hAnsi="David"/>
          <w:b/>
          <w:i w:val="0"/>
          <w:color w:val="333333"/>
          <w:sz w:val="30"/>
          <w:rtl/>
        </w:rPr>
        <w:t>תוכניות לימוד אישיות, במאה השתים־עשרה</w:t>
      </w:r>
    </w:p>
    <w:p>
      <w:pPr>
        <w:bidi/>
        <w:spacing w:after="160" w:line="336" w:lineRule="auto"/>
        <w:ind w:firstLine="283"/>
        <w:jc w:val="both"/>
      </w:pPr>
      <w:r>
        <w:rPr>
          <w:rFonts w:ascii="David" w:hAnsi="David"/>
          <w:rFonts w:cs="David" w:ascii="David" w:hAnsi="David"/>
          <w:b w:val="0"/>
          <w:i w:val="0"/>
          <w:sz w:val="24"/>
          <w:rtl/>
        </w:rPr>
        <w:t>מן המכתבים השמורים מצטיירת תרבות חינוך מתקדמת להפתיע. במכתב אחד (PGPID 1023) שולח יחיאל בן אליקים אל „יפת המלמד” „הוראות לשיטת לימוד בנו” — תוכנית אישית, מותאמת לתלמיד אחד מסוים. במכתב אחר (468) מבקש המורה אבו סעיד את שכרו מן הקהילה „עבור הילדים שנשלחו לבית ספרו”, ובכלל זה „שלושה ילדי אשת הפרסי השוהה בפונדוק”. ילדי מהגרים שנשלחו לבית הספר על חשבון הקופה הציבורית — תיאור שיכול היה להופיע גם בהיסטוריה של התקופה המודרנית.</w:t>
      </w:r>
    </w:p>
    <w:p>
      <w:pPr>
        <w:bidi/>
        <w:spacing w:after="160" w:line="336" w:lineRule="auto"/>
        <w:ind w:firstLine="283"/>
        <w:jc w:val="both"/>
      </w:pPr>
      <w:r>
        <w:rPr>
          <w:rFonts w:ascii="David" w:hAnsi="David"/>
          <w:rFonts w:cs="David" w:ascii="David" w:hAnsi="David"/>
          <w:b w:val="0"/>
          <w:i w:val="0"/>
          <w:sz w:val="24"/>
          <w:rtl/>
        </w:rPr>
        <w:t>מסמך משפטי קצר (1176) מתעד את התופעה במלוא חדותה: בית הדין של נתנאל הלוי קובע, בפברואר 1160, ש„מנצור בן חלף (אבן אל־מֻטרי) ייתום ילמד תורה מסעדיה החזן”. הקהילה אינה רק מעניקה ליתום קצבה — היא מצמידה לו רב פרטי, בפסק־דין רשמי. אם הילד הזה התגלה כעילוי, איש לא יידע. אבל הצמתת רב מובחר ליתום אחד היא החלטה שעולה כסף, וקהילה שמעדיפה לעשות זאת — מסמנת מה היא מחפשת.</w:t>
      </w:r>
    </w:p>
    <w:p>
      <w:pPr>
        <w:bidi/>
        <w:spacing w:after="120" w:line="336" w:lineRule="auto"/>
        <w:jc w:val="right"/>
      </w:pPr>
      <w:r>
        <w:rPr>
          <w:rFonts w:ascii="David" w:hAnsi="David"/>
          <w:rFonts w:cs="David" w:ascii="David" w:hAnsi="David"/>
          <w:b/>
          <w:i w:val="0"/>
          <w:color w:val="333333"/>
          <w:sz w:val="30"/>
          <w:rtl/>
        </w:rPr>
        <w:t>טביעת אצבע על דף השיעור</w:t>
      </w:r>
    </w:p>
    <w:p>
      <w:pPr>
        <w:bidi/>
        <w:spacing w:after="160" w:line="336" w:lineRule="auto"/>
        <w:ind w:firstLine="283"/>
        <w:jc w:val="both"/>
      </w:pPr>
      <w:r>
        <w:rPr>
          <w:rFonts w:ascii="David" w:hAnsi="David"/>
          <w:rFonts w:cs="David" w:ascii="David" w:hAnsi="David"/>
          <w:b w:val="0"/>
          <w:i w:val="0"/>
          <w:sz w:val="24"/>
          <w:rtl/>
        </w:rPr>
        <w:t>המסמך המרגש ביותר בקטגוריה הזו הוא PGPID 12871 — דף ובו „רשימות מתוך שיעור שנתן הרמב"ם”. כותב הקטלוג מציין בלקוניות: „ישנה טביעת אצבע”. תלמיד אנונימי ישב לפני הרמב"ם, רשם את דבריו, וכשהפך את הדף — הותיר על הקלף את טביעת האגודל שלו. ההיסטוריון מרדכי עקיבא פרידמן הוציא את הדף לאור במאמר ב„תרביץ” ב־1993, וכינה אותו „רשימות תלמיד מבית מדרשו של הרמב"ם בענייני אמונות ודעות והלכה”. אנו יודעים את שמו של המורה, אבל הסטודנט — שזכה לשבת ולשמוע את הפרשן הגדול ביותר של ימי הביניים — נשאר אנונימי. רק טביעת האצבע שלו, על הפינה השמאלית של הדף, אומרת: אני הייתי כאן.</w:t>
      </w:r>
    </w:p>
    <w:p>
      <w:pPr>
        <w:bidi/>
        <w:spacing w:after="120" w:line="336" w:lineRule="auto"/>
        <w:jc w:val="right"/>
      </w:pPr>
      <w:r>
        <w:rPr>
          <w:rFonts w:ascii="David" w:hAnsi="David"/>
          <w:rFonts w:cs="David" w:ascii="David" w:hAnsi="David"/>
          <w:b/>
          <w:i w:val="0"/>
          <w:color w:val="333333"/>
          <w:sz w:val="30"/>
          <w:rtl/>
        </w:rPr>
        <w:t>בית מדרשו של אלחנן בן שמריה — הסטארט־אפ של 1010</w:t>
      </w:r>
    </w:p>
    <w:p>
      <w:pPr>
        <w:bidi/>
        <w:spacing w:after="360" w:line="336" w:lineRule="auto"/>
        <w:ind w:firstLine="283"/>
        <w:jc w:val="both"/>
      </w:pPr>
      <w:r>
        <w:rPr>
          <w:rFonts w:ascii="David" w:hAnsi="David"/>
          <w:rFonts w:cs="David" w:ascii="David" w:hAnsi="David"/>
          <w:b w:val="0"/>
          <w:i w:val="0"/>
          <w:sz w:val="24"/>
          <w:rtl/>
        </w:rPr>
        <w:t>ר' שמריה בן אלחנן, מ„ארבעת השבויים” של האגדה התלמודית, ייסד בפוסטאט בשלהי המאה העשירית את „בית הספר של שמריה” — מוסד תורני שנזכר במסמכים מסחריים ובתעודות בית דין כאחד. בנו, אלחנן בן שמריה, ירש את ההנהגה ושלח (PGPID 1768) טיוטת מכתב לקהילה הבבלית בדמשק: בקשת תרומות לבית מדרשו. באותו מכתב עצמו הוא מספר שחתנו טבע בנסיעה מסחרית, ושבתו נותרה עגונה בקירואן, הרה וענייה. ההיסטוריה של בית המדרש המוצלח ביותר בפוסטאט נכתבת באותה אגרת שבה אבא מבקש כסף לאקדמיה ומבקש סעד לבת אבודה. כך נראים החיים כשהם עוד חיים, לפני שמישהו מסדר אותם.</w:t>
      </w:r>
    </w:p>
    <w:p>
      <w:pPr>
        <w:bidi/>
        <w:spacing w:after="120" w:line="336" w:lineRule="auto"/>
        <w:jc w:val="right"/>
      </w:pPr>
      <w:r>
        <w:rPr>
          <w:rFonts w:ascii="David" w:hAnsi="David"/>
          <w:rFonts w:cs="David" w:ascii="David" w:hAnsi="David"/>
          <w:b/>
          <w:i w:val="0"/>
          <w:color w:val="333333"/>
          <w:sz w:val="30"/>
          <w:rtl/>
        </w:rPr>
        <w:t>ה„חברה הים־תיכונית” של גוייטיין</w:t>
      </w:r>
    </w:p>
    <w:p>
      <w:pPr>
        <w:bidi/>
        <w:spacing w:after="160" w:line="336" w:lineRule="auto"/>
        <w:ind w:firstLine="283"/>
        <w:jc w:val="both"/>
      </w:pPr>
      <w:r>
        <w:rPr>
          <w:rFonts w:ascii="David" w:hAnsi="David"/>
          <w:rFonts w:cs="David" w:ascii="David" w:hAnsi="David"/>
          <w:b w:val="0"/>
          <w:i w:val="0"/>
          <w:sz w:val="24"/>
          <w:rtl/>
        </w:rPr>
        <w:t>ש"ד גוייטיין, היסטוריון יוצא גרמניה שעבר לישראל ומשם לפרינסטון, היה הראשון שהבין כי הגניזה אינה רק אוצר ספרותי אלא חלון נדיר אל החיים היומיומיים של ימי הביניים. בחיבורו רב־הכרכים „A Mediterranean Society” (1967–1993) הוא שיחזר על סמך מסמכי הגניזה את הכלכלה, המשפט, הדת, חיי הנישואין, וההתכתבות של היהודים בעולם המוסלמי. למפעלו לא היה אח ורע: זוהי ההיסטוריה החברתית הראשונה של ימי הביניים שנכתבה כמעט כולה מכלי ראשון, מתוך קולות אנשים פרטיים — לא מסמכי שלטון או כרוניקות רשמיות.</w:t>
      </w:r>
    </w:p>
    <w:p>
      <w:pPr>
        <w:bidi/>
        <w:spacing w:after="120" w:line="336" w:lineRule="auto"/>
        <w:jc w:val="right"/>
      </w:pPr>
      <w:r>
        <w:rPr>
          <w:rFonts w:ascii="David" w:hAnsi="David"/>
          <w:rFonts w:cs="David" w:ascii="David" w:hAnsi="David"/>
          <w:b/>
          <w:i w:val="0"/>
          <w:color w:val="333333"/>
          <w:sz w:val="30"/>
          <w:rtl/>
        </w:rPr>
        <w:t>מה גנוז שם עדיין</w:t>
      </w:r>
    </w:p>
    <w:p>
      <w:pPr>
        <w:bidi/>
        <w:spacing w:after="160" w:line="336" w:lineRule="auto"/>
        <w:ind w:firstLine="283"/>
        <w:jc w:val="both"/>
      </w:pPr>
      <w:r>
        <w:rPr>
          <w:rFonts w:ascii="David" w:hAnsi="David"/>
          <w:rFonts w:cs="David" w:ascii="David" w:hAnsi="David"/>
          <w:b w:val="0"/>
          <w:i w:val="0"/>
          <w:sz w:val="24"/>
          <w:rtl/>
        </w:rPr>
        <w:t>מפתיע לחשוב שלמרות 130 שנות מחקר רצוף, רוב הגניזה — גם היום, ב־2026 — עדיין לא תורגמה ולא נחקרה לעומק. עשרות אלפי קטעים ממתינים לחוקרים שיֵדעו עברית, ערבית־יהודית, ארמית בבלית ופרסית־יהודית במקביל. כלים של למידת מכונה החלו לסייע בזיהוי כתבי יד, ביישור קטעים שנקרעו ופוזרו בין אוספים שונים, ובתעתוק אוטומטי. ועדיין — כל פיסה דורשת קריאה אנושית, סבלנית, של מי שיודע לזהות שש מילים מטושטשות ולומר: זוהי טיוטה של תשובת הרמב"ם.</w:t>
      </w:r>
    </w:p>
    <w:p>
      <w:pPr>
        <w:bidi/>
        <w:spacing w:after="240" w:line="336" w:lineRule="auto"/>
        <w:ind w:firstLine="340"/>
        <w:jc w:val="right"/>
      </w:pPr>
      <w:r>
        <w:rPr>
          <w:rFonts w:ascii="David" w:hAnsi="David"/>
          <w:rFonts w:cs="David" w:ascii="David" w:hAnsi="David"/>
          <w:b w:val="0"/>
          <w:i/>
          <w:color w:val="665533"/>
          <w:sz w:val="24"/>
          <w:rtl/>
        </w:rPr>
        <w:t>מבלי שאיש תכנן זאת, ניצלה גם המציאות החילונית, יום־יומית עד היסוד, של קהילה יהודית שלמה.</w:t>
      </w:r>
    </w:p>
    <w:p>
      <w:pPr>
        <w:bidi/>
        <w:spacing w:after="120" w:line="336" w:lineRule="auto"/>
        <w:jc w:val="right"/>
      </w:pPr>
      <w:r>
        <w:rPr>
          <w:rFonts w:ascii="David" w:hAnsi="David"/>
          <w:rFonts w:cs="David" w:ascii="David" w:hAnsi="David"/>
          <w:b/>
          <w:i w:val="0"/>
          <w:color w:val="333333"/>
          <w:sz w:val="30"/>
          <w:rtl/>
        </w:rPr>
        <w:t>סוף דבר — קולות מבעד לאבק</w:t>
      </w:r>
    </w:p>
    <w:p>
      <w:pPr>
        <w:bidi/>
        <w:spacing w:after="480" w:line="336" w:lineRule="auto"/>
        <w:ind w:firstLine="283"/>
        <w:jc w:val="both"/>
      </w:pPr>
      <w:r>
        <w:rPr>
          <w:rFonts w:ascii="David" w:hAnsi="David"/>
          <w:rFonts w:cs="David" w:ascii="David" w:hAnsi="David"/>
          <w:b w:val="0"/>
          <w:i w:val="0"/>
          <w:sz w:val="24"/>
          <w:rtl/>
        </w:rPr>
        <w:t>מי שיתבונן בתצלום של דף גניזה — מאה־שלוש־מאה שנה אחרי שנכתב, חצי מהמילים מחוקות, הקצוות קרועים — יראה לפעמים, על אותו דף עצמו, שלוש שכבות של כתיבה: שורות עבריות מימין, שורות ערביות־יהודיות באלכסון משמאל, וחתימה דהוייה למטה. שלושה אנשים, שלוש שפות, שלושה רגעים נפרדים בחיי הקהילה — כולם אוחזים יחד באותה פיסת נייר מאלף שנה. זוהי הגניזה: לא ספר, אלא רעש רקע של חיים שלמים. ושם, מתחת לאבק של מאות שנים, ממשיכים אנשים לדבר.</w:t>
      </w:r>
    </w:p>
    <w:p>
      <w:pPr>
        <w:bidi/>
        <w:spacing w:after="280" w:line="336" w:lineRule="auto"/>
        <w:jc w:val="right"/>
      </w:pPr>
      <w:r>
        <w:rPr>
          <w:rFonts w:ascii="David" w:hAnsi="David"/>
          <w:rFonts w:cs="David" w:ascii="David" w:hAnsi="David"/>
          <w:b w:val="0"/>
          <w:i/>
          <w:color w:val="777777"/>
          <w:sz w:val="20"/>
          <w:rtl/>
        </w:rPr>
        <w:t>מקורות: Princeton Geniza Project (geniza.princeton.edu, רישיון CC BY-NC 4.0); אוסף טיילור־שכטר, ספריית קיימברידג'; ש"ד גוייטיין, A Mediterranean Society, 1967–1993; S. C. Reif, A Jewish Archive from Old Cairo, 2000.</w:t>
      </w:r>
    </w:p>
    <w:sectPr w:rsidR="00FC693F" w:rsidRPr="0006063C" w:rsidSect="00034616">
      <w:pgSz w:w="12240" w:h="15840"/>
      <w:pgMar w:top="1247" w:right="1417" w:bottom="124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