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8C95"/>
          <w:sz w:val="22"/>
        </w:rPr>
        <w:t>WEEK 01 TASK</w:t>
      </w:r>
    </w:p>
    <w:p/>
    <w:p>
      <w:pPr>
        <w:pStyle w:val="Title"/>
        <w:jc w:val="center"/>
      </w:pPr>
      <w:r>
        <w:t>DESIGNING A</w:t>
        <w:br/>
        <w:t>SCALABLE IoT ARCHITECTURE</w:t>
      </w:r>
    </w:p>
    <w:p>
      <w:pPr>
        <w:jc w:val="center"/>
      </w:pPr>
      <w:r>
        <w:rPr>
          <w:color w:val="607786"/>
          <w:sz w:val="24"/>
        </w:rPr>
        <w:t>A reference design for a growing IoT network</w:t>
      </w:r>
    </w:p>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AF7F7"/>
          </w:tcPr>
          <w:p>
            <w:pPr>
              <w:jc w:val="center"/>
            </w:pPr>
            <w:r/>
            <w:r>
              <w:rPr>
                <w:rFonts w:ascii="Calibri" w:hAnsi="Calibri"/>
                <w:b/>
                <w:color w:val="102A43"/>
                <w:sz w:val="17"/>
              </w:rPr>
              <w:t>IoT Devices</w:t>
            </w:r>
          </w:p>
        </w:tc>
        <w:tc>
          <w:tcPr>
            <w:tcW w:type="dxa" w:w="2045"/>
            <w:vAlign w:val="center"/>
            <w:shd w:fill="EAF7F7"/>
          </w:tcPr>
          <w:p>
            <w:pPr>
              <w:jc w:val="center"/>
            </w:pPr>
            <w:r/>
            <w:r>
              <w:rPr>
                <w:rFonts w:ascii="Calibri" w:hAnsi="Calibri"/>
                <w:b/>
                <w:color w:val="102A43"/>
                <w:sz w:val="17"/>
              </w:rPr>
              <w:t>Edge Gateway</w:t>
            </w:r>
          </w:p>
        </w:tc>
        <w:tc>
          <w:tcPr>
            <w:tcW w:type="dxa" w:w="2045"/>
            <w:vAlign w:val="center"/>
            <w:shd w:fill="EAF7F7"/>
          </w:tcPr>
          <w:p>
            <w:pPr>
              <w:jc w:val="center"/>
            </w:pPr>
            <w:r/>
            <w:r>
              <w:rPr>
                <w:rFonts w:ascii="Calibri" w:hAnsi="Calibri"/>
                <w:b/>
                <w:color w:val="102A43"/>
                <w:sz w:val="17"/>
              </w:rPr>
              <w:t>IP Network</w:t>
            </w:r>
          </w:p>
        </w:tc>
        <w:tc>
          <w:tcPr>
            <w:tcW w:type="dxa" w:w="2045"/>
            <w:vAlign w:val="center"/>
            <w:shd w:fill="EAF7F7"/>
          </w:tcPr>
          <w:p>
            <w:pPr>
              <w:jc w:val="center"/>
            </w:pPr>
            <w:r/>
            <w:r>
              <w:rPr>
                <w:rFonts w:ascii="Calibri" w:hAnsi="Calibri"/>
                <w:b/>
                <w:color w:val="102A43"/>
                <w:sz w:val="17"/>
              </w:rPr>
              <w:t>Cloud</w:t>
            </w:r>
          </w:p>
        </w:tc>
        <w:tc>
          <w:tcPr>
            <w:tcW w:type="dxa" w:w="2045"/>
            <w:vAlign w:val="center"/>
            <w:shd w:fill="EAF7F7"/>
          </w:tcPr>
          <w:p>
            <w:pPr>
              <w:jc w:val="center"/>
            </w:pPr>
            <w:r/>
            <w:r>
              <w:rPr>
                <w:rFonts w:ascii="Calibri" w:hAnsi="Calibri"/>
                <w:b/>
                <w:color w:val="102A43"/>
                <w:sz w:val="17"/>
              </w:rPr>
              <w:t>Applications</w:t>
            </w:r>
          </w:p>
        </w:tc>
      </w:tr>
    </w:tbl>
    <w:p>
      <w:pPr>
        <w:jc w:val="center"/>
      </w:pPr>
      <w:r>
        <w:rPr>
          <w:color w:val="008C95"/>
          <w:sz w:val="0"/>
        </w:rPr>
        <w:t>→  →  →  →</w:t>
      </w:r>
    </w:p>
    <w:p>
      <w:pPr>
        <w:jc w:val="center"/>
      </w:pPr>
      <w:r>
        <w:rPr>
          <w:b/>
          <w:color w:val="1D5D8F"/>
          <w:sz w:val="0"/>
        </w:rPr>
        <w:t>MQTT • LoRaWAN • Wi‑Fi • Edge Processing • Cloud Analytics</w:t>
      </w:r>
    </w:p>
    <w:p/>
    <w:p>
      <w:pPr>
        <w:jc w:val="center"/>
      </w:pPr>
      <w:r>
        <w:rPr>
          <w:sz w:val="0"/>
        </w:rPr>
        <w:t>Name: ______________________________    USN: ______________________________</w:t>
      </w:r>
    </w:p>
    <w:p>
      <w:pPr>
        <w:jc w:val="center"/>
      </w:pPr>
      <w:r>
        <w:rPr>
          <w:color w:val="607786"/>
          <w:sz w:val="0"/>
        </w:rPr>
        <w:t>Electronics and Communication Engineering</w:t>
      </w:r>
    </w:p>
    <w:p>
      <w:r>
        <w:br w:type="page"/>
      </w:r>
    </w:p>
    <w:p>
      <w:pPr>
        <w:pStyle w:val="Heading1"/>
      </w:pPr>
      <w:r>
        <w:t>1. OBJECTIVE AND SCOPE</w:t>
      </w:r>
    </w:p>
    <w:p>
      <w:r>
        <w:t>The objective of this project is to design a scalable IoT architecture that can support a growing network of devices and sensors. The proposed system is an environmental monitoring network for a campus or small industrial site. Sensors collect temperature, humidity, air-quality and equipment-status data. Edge gateways collect and preprocess the information before sending it through an IP network to cloud services for storage, analytics, dashboards and alerts.</w:t>
      </w:r>
    </w:p>
    <w:p>
      <w:r>
        <w:t>The architecture is divided into layers so that capacity can be increased by adding gateways, message-processing resources and storage instead of redesigning the complete system.</w:t>
      </w:r>
    </w:p>
    <w:p>
      <w:pPr>
        <w:pStyle w:val="Heading1"/>
      </w:pPr>
      <w:r>
        <w:t>2. DESIGN PRINCIPLES</w:t>
      </w:r>
    </w:p>
    <w:p>
      <w:pPr>
        <w:pStyle w:val="ListBullet"/>
        <w:spacing w:after="40"/>
      </w:pPr>
      <w:r>
        <w:t>Modularity: field devices, gateways, network transport, cloud ingestion, data services and applications are separate layers.</w:t>
      </w:r>
    </w:p>
    <w:p>
      <w:pPr>
        <w:pStyle w:val="ListBullet"/>
        <w:spacing w:after="40"/>
      </w:pPr>
      <w:r>
        <w:t>Horizontal scaling: add gateways, broker instances, processing workers and storage as the load increases.</w:t>
      </w:r>
    </w:p>
    <w:p>
      <w:pPr>
        <w:pStyle w:val="ListBullet"/>
        <w:spacing w:after="40"/>
      </w:pPr>
      <w:r>
        <w:t>Edge processing: filter, aggregate and buffer data near the devices.</w:t>
      </w:r>
    </w:p>
    <w:p>
      <w:pPr>
        <w:pStyle w:val="ListBullet"/>
        <w:spacing w:after="40"/>
      </w:pPr>
      <w:r>
        <w:t>Protocol flexibility: support different field links while using standard IP networking upstream.</w:t>
      </w:r>
    </w:p>
    <w:p>
      <w:pPr>
        <w:pStyle w:val="ListBullet"/>
        <w:spacing w:after="40"/>
      </w:pPr>
      <w:r>
        <w:t>Fault isolation: a local gateway or backhaul failure should not stop the complete network.</w:t>
      </w:r>
    </w:p>
    <w:p>
      <w:pPr>
        <w:pStyle w:val="ListBullet"/>
        <w:spacing w:after="40"/>
      </w:pPr>
      <w:r>
        <w:t>Observability: monitor device health, message rate, latency, queue depth and gateway utilization.</w:t>
      </w:r>
    </w:p>
    <w:p>
      <w:pPr>
        <w:pStyle w:val="Heading1"/>
      </w:pPr>
      <w:r>
        <w:t>3. IoT TOPOLOGIES AND PROTOCOLS</w:t>
      </w:r>
    </w:p>
    <w:p>
      <w:r>
        <w:t>The following topology options were considered before selecting the reference architecture.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02A43"/>
          </w:tcPr>
          <w:p>
            <w:pPr>
              <w:jc w:val="center"/>
            </w:pPr>
            <w:r/>
            <w:r>
              <w:rPr>
                <w:rFonts w:ascii="Calibri" w:hAnsi="Calibri"/>
                <w:b/>
                <w:color w:val="FFFFFF"/>
                <w:sz w:val="18"/>
              </w:rPr>
              <w:t>Option</w:t>
            </w:r>
          </w:p>
        </w:tc>
        <w:tc>
          <w:tcPr>
            <w:tcW w:type="dxa" w:w="2556"/>
            <w:vAlign w:val="center"/>
            <w:shd w:fill="102A43"/>
          </w:tcPr>
          <w:p>
            <w:pPr>
              <w:jc w:val="center"/>
            </w:pPr>
            <w:r/>
            <w:r>
              <w:rPr>
                <w:rFonts w:ascii="Calibri" w:hAnsi="Calibri"/>
                <w:b/>
                <w:color w:val="FFFFFF"/>
                <w:sz w:val="18"/>
              </w:rPr>
              <w:t>Structure</w:t>
            </w:r>
          </w:p>
        </w:tc>
        <w:tc>
          <w:tcPr>
            <w:tcW w:type="dxa" w:w="2556"/>
            <w:vAlign w:val="center"/>
            <w:shd w:fill="102A43"/>
          </w:tcPr>
          <w:p>
            <w:pPr>
              <w:jc w:val="center"/>
            </w:pPr>
            <w:r/>
            <w:r>
              <w:rPr>
                <w:rFonts w:ascii="Calibri" w:hAnsi="Calibri"/>
                <w:b/>
                <w:color w:val="FFFFFF"/>
                <w:sz w:val="18"/>
              </w:rPr>
              <w:t>Advantage</w:t>
            </w:r>
          </w:p>
        </w:tc>
        <w:tc>
          <w:tcPr>
            <w:tcW w:type="dxa" w:w="2556"/>
            <w:vAlign w:val="center"/>
            <w:shd w:fill="102A43"/>
          </w:tcPr>
          <w:p>
            <w:pPr>
              <w:jc w:val="center"/>
            </w:pPr>
            <w:r/>
            <w:r>
              <w:rPr>
                <w:rFonts w:ascii="Calibri" w:hAnsi="Calibri"/>
                <w:b/>
                <w:color w:val="FFFFFF"/>
                <w:sz w:val="18"/>
              </w:rPr>
              <w:t>Challenge</w:t>
            </w:r>
          </w:p>
        </w:tc>
      </w:tr>
      <w:tr>
        <w:tc>
          <w:tcPr>
            <w:tcW w:type="dxa" w:w="2556"/>
            <w:vAlign w:val="center"/>
          </w:tcPr>
          <w:p>
            <w:pPr>
              <w:jc w:val="center"/>
            </w:pPr>
            <w:r/>
            <w:r>
              <w:rPr>
                <w:rFonts w:ascii="Calibri" w:hAnsi="Calibri"/>
                <w:b w:val="0"/>
                <w:color w:val="243746"/>
                <w:sz w:val="17"/>
              </w:rPr>
              <w:t>Star</w:t>
            </w:r>
          </w:p>
        </w:tc>
        <w:tc>
          <w:tcPr>
            <w:tcW w:type="dxa" w:w="2556"/>
            <w:vAlign w:val="center"/>
          </w:tcPr>
          <w:p>
            <w:pPr>
              <w:jc w:val="center"/>
            </w:pPr>
            <w:r/>
            <w:r>
              <w:rPr>
                <w:rFonts w:ascii="Calibri" w:hAnsi="Calibri"/>
                <w:b w:val="0"/>
                <w:color w:val="243746"/>
                <w:sz w:val="17"/>
              </w:rPr>
              <w:t>Devices → central gateway</w:t>
            </w:r>
          </w:p>
        </w:tc>
        <w:tc>
          <w:tcPr>
            <w:tcW w:type="dxa" w:w="2556"/>
            <w:vAlign w:val="center"/>
          </w:tcPr>
          <w:p>
            <w:pPr>
              <w:jc w:val="center"/>
            </w:pPr>
            <w:r/>
            <w:r>
              <w:rPr>
                <w:rFonts w:ascii="Calibri" w:hAnsi="Calibri"/>
                <w:b w:val="0"/>
                <w:color w:val="243746"/>
                <w:sz w:val="17"/>
              </w:rPr>
              <w:t>Simple and easy to manage</w:t>
            </w:r>
          </w:p>
        </w:tc>
        <w:tc>
          <w:tcPr>
            <w:tcW w:type="dxa" w:w="2556"/>
            <w:vAlign w:val="center"/>
          </w:tcPr>
          <w:p>
            <w:pPr>
              <w:jc w:val="center"/>
            </w:pPr>
            <w:r/>
            <w:r>
              <w:rPr>
                <w:rFonts w:ascii="Calibri" w:hAnsi="Calibri"/>
                <w:b w:val="0"/>
                <w:color w:val="243746"/>
                <w:sz w:val="17"/>
              </w:rPr>
              <w:t>Gateway can become a bottleneck</w:t>
            </w:r>
          </w:p>
        </w:tc>
      </w:tr>
      <w:tr>
        <w:tc>
          <w:tcPr>
            <w:tcW w:type="dxa" w:w="2556"/>
            <w:vAlign w:val="center"/>
            <w:shd w:fill="F5F8FA"/>
          </w:tcPr>
          <w:p>
            <w:pPr>
              <w:jc w:val="center"/>
            </w:pPr>
            <w:r/>
            <w:r>
              <w:rPr>
                <w:rFonts w:ascii="Calibri" w:hAnsi="Calibri"/>
                <w:b w:val="0"/>
                <w:color w:val="243746"/>
                <w:sz w:val="17"/>
              </w:rPr>
              <w:t>Mesh</w:t>
            </w:r>
          </w:p>
        </w:tc>
        <w:tc>
          <w:tcPr>
            <w:tcW w:type="dxa" w:w="2556"/>
            <w:vAlign w:val="center"/>
            <w:shd w:fill="F5F8FA"/>
          </w:tcPr>
          <w:p>
            <w:pPr>
              <w:jc w:val="center"/>
            </w:pPr>
            <w:r/>
            <w:r>
              <w:rPr>
                <w:rFonts w:ascii="Calibri" w:hAnsi="Calibri"/>
                <w:b w:val="0"/>
                <w:color w:val="243746"/>
                <w:sz w:val="17"/>
              </w:rPr>
              <w:t>Devices relay through other nodes</w:t>
            </w:r>
          </w:p>
        </w:tc>
        <w:tc>
          <w:tcPr>
            <w:tcW w:type="dxa" w:w="2556"/>
            <w:vAlign w:val="center"/>
            <w:shd w:fill="F5F8FA"/>
          </w:tcPr>
          <w:p>
            <w:pPr>
              <w:jc w:val="center"/>
            </w:pPr>
            <w:r/>
            <w:r>
              <w:rPr>
                <w:rFonts w:ascii="Calibri" w:hAnsi="Calibri"/>
                <w:b w:val="0"/>
                <w:color w:val="243746"/>
                <w:sz w:val="17"/>
              </w:rPr>
              <w:t>Alternate paths and wider coverage</w:t>
            </w:r>
          </w:p>
        </w:tc>
        <w:tc>
          <w:tcPr>
            <w:tcW w:type="dxa" w:w="2556"/>
            <w:vAlign w:val="center"/>
            <w:shd w:fill="F5F8FA"/>
          </w:tcPr>
          <w:p>
            <w:pPr>
              <w:jc w:val="center"/>
            </w:pPr>
            <w:r/>
            <w:r>
              <w:rPr>
                <w:rFonts w:ascii="Calibri" w:hAnsi="Calibri"/>
                <w:b w:val="0"/>
                <w:color w:val="243746"/>
                <w:sz w:val="17"/>
              </w:rPr>
              <w:t>More routing complexity</w:t>
            </w:r>
          </w:p>
        </w:tc>
      </w:tr>
      <w:tr>
        <w:tc>
          <w:tcPr>
            <w:tcW w:type="dxa" w:w="2556"/>
            <w:vAlign w:val="center"/>
          </w:tcPr>
          <w:p>
            <w:pPr>
              <w:jc w:val="center"/>
            </w:pPr>
            <w:r/>
            <w:r>
              <w:rPr>
                <w:rFonts w:ascii="Calibri" w:hAnsi="Calibri"/>
                <w:b w:val="0"/>
                <w:color w:val="243746"/>
                <w:sz w:val="17"/>
              </w:rPr>
              <w:t>Star-of-stars</w:t>
            </w:r>
          </w:p>
        </w:tc>
        <w:tc>
          <w:tcPr>
            <w:tcW w:type="dxa" w:w="2556"/>
            <w:vAlign w:val="center"/>
          </w:tcPr>
          <w:p>
            <w:pPr>
              <w:jc w:val="center"/>
            </w:pPr>
            <w:r/>
            <w:r>
              <w:rPr>
                <w:rFonts w:ascii="Calibri" w:hAnsi="Calibri"/>
                <w:b w:val="0"/>
                <w:color w:val="243746"/>
                <w:sz w:val="17"/>
              </w:rPr>
              <w:t>Devices → gateways → backend</w:t>
            </w:r>
          </w:p>
        </w:tc>
        <w:tc>
          <w:tcPr>
            <w:tcW w:type="dxa" w:w="2556"/>
            <w:vAlign w:val="center"/>
          </w:tcPr>
          <w:p>
            <w:pPr>
              <w:jc w:val="center"/>
            </w:pPr>
            <w:r/>
            <w:r>
              <w:rPr>
                <w:rFonts w:ascii="Calibri" w:hAnsi="Calibri"/>
                <w:b w:val="0"/>
                <w:color w:val="243746"/>
                <w:sz w:val="17"/>
              </w:rPr>
              <w:t>Good fit for LPWAN</w:t>
            </w:r>
          </w:p>
        </w:tc>
        <w:tc>
          <w:tcPr>
            <w:tcW w:type="dxa" w:w="2556"/>
            <w:vAlign w:val="center"/>
          </w:tcPr>
          <w:p>
            <w:pPr>
              <w:jc w:val="center"/>
            </w:pPr>
            <w:r/>
            <w:r>
              <w:rPr>
                <w:rFonts w:ascii="Calibri" w:hAnsi="Calibri"/>
                <w:b w:val="0"/>
                <w:color w:val="243746"/>
                <w:sz w:val="17"/>
              </w:rPr>
              <w:t>Gateway and backend planning</w:t>
            </w:r>
          </w:p>
        </w:tc>
      </w:tr>
      <w:tr>
        <w:tc>
          <w:tcPr>
            <w:tcW w:type="dxa" w:w="2556"/>
            <w:vAlign w:val="center"/>
            <w:shd w:fill="F5F8FA"/>
          </w:tcPr>
          <w:p>
            <w:pPr>
              <w:jc w:val="center"/>
            </w:pPr>
            <w:r/>
            <w:r>
              <w:rPr>
                <w:rFonts w:ascii="Calibri" w:hAnsi="Calibri"/>
                <w:b w:val="0"/>
                <w:color w:val="243746"/>
                <w:sz w:val="17"/>
              </w:rPr>
              <w:t>Hierarchical edge</w:t>
            </w:r>
          </w:p>
        </w:tc>
        <w:tc>
          <w:tcPr>
            <w:tcW w:type="dxa" w:w="2556"/>
            <w:vAlign w:val="center"/>
            <w:shd w:fill="F5F8FA"/>
          </w:tcPr>
          <w:p>
            <w:pPr>
              <w:jc w:val="center"/>
            </w:pPr>
            <w:r/>
            <w:r>
              <w:rPr>
                <w:rFonts w:ascii="Calibri" w:hAnsi="Calibri"/>
                <w:b w:val="0"/>
                <w:color w:val="243746"/>
                <w:sz w:val="17"/>
              </w:rPr>
              <w:t>Devices → edge → cloud</w:t>
            </w:r>
          </w:p>
        </w:tc>
        <w:tc>
          <w:tcPr>
            <w:tcW w:type="dxa" w:w="2556"/>
            <w:vAlign w:val="center"/>
            <w:shd w:fill="F5F8FA"/>
          </w:tcPr>
          <w:p>
            <w:pPr>
              <w:jc w:val="center"/>
            </w:pPr>
            <w:r/>
            <w:r>
              <w:rPr>
                <w:rFonts w:ascii="Calibri" w:hAnsi="Calibri"/>
                <w:b w:val="0"/>
                <w:color w:val="243746"/>
                <w:sz w:val="17"/>
              </w:rPr>
              <w:t>Local processing and fault isolation</w:t>
            </w:r>
          </w:p>
        </w:tc>
        <w:tc>
          <w:tcPr>
            <w:tcW w:type="dxa" w:w="2556"/>
            <w:vAlign w:val="center"/>
            <w:shd w:fill="F5F8FA"/>
          </w:tcPr>
          <w:p>
            <w:pPr>
              <w:jc w:val="center"/>
            </w:pPr>
            <w:r/>
            <w:r>
              <w:rPr>
                <w:rFonts w:ascii="Calibri" w:hAnsi="Calibri"/>
                <w:b w:val="0"/>
                <w:color w:val="243746"/>
                <w:sz w:val="17"/>
              </w:rPr>
              <w:t>More edge infrastructure</w:t>
            </w:r>
          </w:p>
        </w:tc>
      </w:tr>
    </w:tbl>
    <w:p>
      <w:pPr>
        <w:pStyle w:val="Heading2"/>
      </w:pPr>
      <w:r>
        <w:t>Communication protocol choices</w:t>
      </w:r>
    </w:p>
    <w:p>
      <w:pPr>
        <w:pStyle w:val="ListBullet"/>
        <w:spacing w:after="40"/>
      </w:pPr>
      <w:r>
        <w:t>MQTT: lightweight publish/subscribe messaging suitable for IoT telemetry.</w:t>
      </w:r>
    </w:p>
    <w:p>
      <w:pPr>
        <w:pStyle w:val="ListBullet"/>
        <w:spacing w:after="40"/>
      </w:pPr>
      <w:r>
        <w:t>CoAP: lightweight application protocol suitable for constrained devices and REST-style communication.</w:t>
      </w:r>
    </w:p>
    <w:p>
      <w:pPr>
        <w:pStyle w:val="ListBullet"/>
        <w:spacing w:after="40"/>
      </w:pPr>
      <w:r>
        <w:t>LoRaWAN: low-power, long-range option for battery-powered IoT devices.</w:t>
      </w:r>
    </w:p>
    <w:p>
      <w:pPr>
        <w:pStyle w:val="ListBullet"/>
        <w:spacing w:after="40"/>
      </w:pPr>
      <w:r>
        <w:t>Wi-Fi/Ethernet: suitable for powered devices and gateways with existing IP infrastructure.</w:t>
      </w:r>
    </w:p>
    <w:p>
      <w:r>
        <w:t>Design decision: use LoRaWAN or Wi-Fi at the field layer depending on power and coverage requirements, and use MQTT over IP between gateways and cloud services.</w:t>
      </w:r>
    </w:p>
    <w:p>
      <w:r>
        <w:br w:type="page"/>
      </w:r>
    </w:p>
    <w:p>
      <w:pPr>
        <w:pStyle w:val="Heading1"/>
      </w:pPr>
      <w:r>
        <w:t>4. PROPOSED NETWORK ARCHITECTURE</w:t>
      </w:r>
    </w:p>
    <w:p>
      <w:r>
        <w:t>The proposed network uses an edge–gateway–cloud structure. End devices generate telemetry. Edge gateways collect the data and perform filtering, buffering, protocol translation and local rules. The IP network provides backhaul to cloud ingestion. Cloud services provide storage, analytics, dashboards and alerts.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F7F7"/>
          </w:tcPr>
          <w:p>
            <w:pPr>
              <w:jc w:val="center"/>
            </w:pPr>
            <w:r/>
            <w:r>
              <w:rPr>
                <w:rFonts w:ascii="Calibri" w:hAnsi="Calibri"/>
                <w:b/>
                <w:color w:val="102A43"/>
                <w:sz w:val="16"/>
              </w:rPr>
              <w:t>END DEVICES</w:t>
              <w:br/>
              <w:t>Sensors / Actuators</w:t>
              <w:br/>
              <w:t>LoRaWAN / Wi-Fi</w:t>
            </w:r>
          </w:p>
        </w:tc>
        <w:tc>
          <w:tcPr>
            <w:tcW w:type="dxa" w:w="3408"/>
            <w:vAlign w:val="center"/>
            <w:shd w:fill="EAF7F7"/>
          </w:tcPr>
          <w:p>
            <w:pPr>
              <w:jc w:val="center"/>
            </w:pPr>
            <w:r/>
            <w:r>
              <w:rPr>
                <w:rFonts w:ascii="Calibri" w:hAnsi="Calibri"/>
                <w:b/>
                <w:color w:val="102A43"/>
                <w:sz w:val="16"/>
              </w:rPr>
              <w:t>EDGE GATEWAY</w:t>
              <w:br/>
              <w:t>Protocol translation</w:t>
              <w:br/>
              <w:t>Filter • Buffer • Rules</w:t>
            </w:r>
          </w:p>
        </w:tc>
        <w:tc>
          <w:tcPr>
            <w:tcW w:type="dxa" w:w="3408"/>
            <w:vAlign w:val="center"/>
            <w:shd w:fill="EAF7F7"/>
          </w:tcPr>
          <w:p>
            <w:pPr>
              <w:jc w:val="center"/>
            </w:pPr>
            <w:r/>
            <w:r>
              <w:rPr>
                <w:rFonts w:ascii="Calibri" w:hAnsi="Calibri"/>
                <w:b/>
                <w:color w:val="102A43"/>
                <w:sz w:val="16"/>
              </w:rPr>
              <w:t>IP NETWORK</w:t>
              <w:br/>
              <w:t>Ethernet / Wi-Fi</w:t>
              <w:br/>
              <w:t>Routing + segmentation</w:t>
            </w:r>
          </w:p>
        </w:tc>
      </w:tr>
      <w:tr>
        <w:tc>
          <w:tcPr>
            <w:tcW w:type="dxa" w:w="3408"/>
            <w:vAlign w:val="center"/>
            <w:shd w:fill="EAF7F7"/>
          </w:tcPr>
          <w:p>
            <w:pPr>
              <w:jc w:val="center"/>
            </w:pPr>
            <w:r/>
            <w:r>
              <w:rPr>
                <w:rFonts w:ascii="Calibri" w:hAnsi="Calibri"/>
                <w:b/>
                <w:color w:val="102A43"/>
                <w:sz w:val="16"/>
              </w:rPr>
              <w:t>LOCAL SERVICES</w:t>
              <w:br/>
              <w:t>Local dashboard</w:t>
              <w:br/>
              <w:t>Offline operation</w:t>
            </w:r>
          </w:p>
        </w:tc>
        <w:tc>
          <w:tcPr>
            <w:tcW w:type="dxa" w:w="3408"/>
            <w:vAlign w:val="center"/>
            <w:shd w:fill="EAF7F7"/>
          </w:tcPr>
          <w:p>
            <w:pPr>
              <w:jc w:val="center"/>
            </w:pPr>
            <w:r/>
            <w:r>
              <w:rPr>
                <w:rFonts w:ascii="Calibri" w:hAnsi="Calibri"/>
                <w:b/>
                <w:color w:val="102A43"/>
                <w:sz w:val="16"/>
              </w:rPr>
              <w:t>CLOUD INGESTION</w:t>
              <w:br/>
              <w:t>MQTT broker / API</w:t>
              <w:br/>
              <w:t>Device registry</w:t>
            </w:r>
          </w:p>
        </w:tc>
        <w:tc>
          <w:tcPr>
            <w:tcW w:type="dxa" w:w="3408"/>
            <w:vAlign w:val="center"/>
            <w:shd w:fill="EAF7F7"/>
          </w:tcPr>
          <w:p>
            <w:pPr>
              <w:jc w:val="center"/>
            </w:pPr>
            <w:r/>
            <w:r>
              <w:rPr>
                <w:rFonts w:ascii="Calibri" w:hAnsi="Calibri"/>
                <w:b/>
                <w:color w:val="102A43"/>
                <w:sz w:val="16"/>
              </w:rPr>
              <w:t>DATA SERVICES</w:t>
              <w:br/>
              <w:t>Database + analytics</w:t>
              <w:br/>
              <w:t>Dashboard / alerts</w:t>
            </w:r>
          </w:p>
        </w:tc>
      </w:tr>
      <w:tr>
        <w:tc>
          <w:tcPr>
            <w:tcW w:type="dxa" w:w="3408"/>
            <w:vAlign w:val="center"/>
          </w:tcPr>
          <w:p>
            <w:pPr>
              <w:jc w:val="center"/>
            </w:pPr>
            <w:r/>
            <w:r>
              <w:rPr>
                <w:rFonts w:ascii="Calibri" w:hAnsi="Calibri"/>
                <w:b/>
                <w:color w:val="102A43"/>
                <w:sz w:val="16"/>
              </w:rPr>
            </w:r>
          </w:p>
        </w:tc>
        <w:tc>
          <w:tcPr>
            <w:tcW w:type="dxa" w:w="3408"/>
            <w:vAlign w:val="center"/>
            <w:shd w:fill="EAF7F7"/>
          </w:tcPr>
          <w:p>
            <w:pPr>
              <w:jc w:val="center"/>
            </w:pPr>
            <w:r/>
            <w:r>
              <w:rPr>
                <w:rFonts w:ascii="Calibri" w:hAnsi="Calibri"/>
                <w:b/>
                <w:color w:val="102A43"/>
                <w:sz w:val="16"/>
              </w:rPr>
              <w:t>SCALE-OUT LAYER</w:t>
              <w:br/>
              <w:t>Gateway / broker pool</w:t>
              <w:br/>
              <w:t>Load balancing</w:t>
            </w:r>
          </w:p>
        </w:tc>
        <w:tc>
          <w:tcPr>
            <w:tcW w:type="dxa" w:w="3408"/>
            <w:vAlign w:val="center"/>
          </w:tcPr>
          <w:p>
            <w:pPr>
              <w:jc w:val="center"/>
            </w:pPr>
            <w:r/>
            <w:r>
              <w:rPr>
                <w:rFonts w:ascii="Calibri" w:hAnsi="Calibri"/>
                <w:b/>
                <w:color w:val="102A43"/>
                <w:sz w:val="16"/>
              </w:rPr>
            </w:r>
          </w:p>
        </w:tc>
      </w:tr>
    </w:tbl>
    <w:p>
      <w:r>
        <w:t>Main data path: End Devices → Edge Gateway → IP Network → Cloud Ingestion → Data Services.</w:t>
      </w:r>
    </w:p>
    <w:p>
      <w:r>
        <w:t>The edge layer reduces upstream traffic, buffers data during temporary connection problems and can handle simple time-sensitive decisions locally.</w:t>
      </w:r>
    </w:p>
    <w:p>
      <w:pPr>
        <w:pStyle w:val="Heading1"/>
      </w:pPr>
      <w:r>
        <w:t>5. DEVICE INTERCONNECTIONS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02A43"/>
          </w:tcPr>
          <w:p>
            <w:pPr>
              <w:jc w:val="center"/>
            </w:pPr>
            <w:r/>
            <w:r>
              <w:rPr>
                <w:rFonts w:ascii="Calibri" w:hAnsi="Calibri"/>
                <w:b/>
                <w:color w:val="FFFFFF"/>
                <w:sz w:val="18"/>
              </w:rPr>
              <w:t>Device</w:t>
            </w:r>
          </w:p>
        </w:tc>
        <w:tc>
          <w:tcPr>
            <w:tcW w:type="dxa" w:w="2556"/>
            <w:vAlign w:val="center"/>
            <w:shd w:fill="102A43"/>
          </w:tcPr>
          <w:p>
            <w:pPr>
              <w:jc w:val="center"/>
            </w:pPr>
            <w:r/>
            <w:r>
              <w:rPr>
                <w:rFonts w:ascii="Calibri" w:hAnsi="Calibri"/>
                <w:b/>
                <w:color w:val="FFFFFF"/>
                <w:sz w:val="18"/>
              </w:rPr>
              <w:t>Local link</w:t>
            </w:r>
          </w:p>
        </w:tc>
        <w:tc>
          <w:tcPr>
            <w:tcW w:type="dxa" w:w="2556"/>
            <w:vAlign w:val="center"/>
            <w:shd w:fill="102A43"/>
          </w:tcPr>
          <w:p>
            <w:pPr>
              <w:jc w:val="center"/>
            </w:pPr>
            <w:r/>
            <w:r>
              <w:rPr>
                <w:rFonts w:ascii="Calibri" w:hAnsi="Calibri"/>
                <w:b/>
                <w:color w:val="FFFFFF"/>
                <w:sz w:val="18"/>
              </w:rPr>
              <w:t>Gateway role</w:t>
            </w:r>
          </w:p>
        </w:tc>
        <w:tc>
          <w:tcPr>
            <w:tcW w:type="dxa" w:w="2556"/>
            <w:vAlign w:val="center"/>
            <w:shd w:fill="102A43"/>
          </w:tcPr>
          <w:p>
            <w:pPr>
              <w:jc w:val="center"/>
            </w:pPr>
            <w:r/>
            <w:r>
              <w:rPr>
                <w:rFonts w:ascii="Calibri" w:hAnsi="Calibri"/>
                <w:b/>
                <w:color w:val="FFFFFF"/>
                <w:sz w:val="18"/>
              </w:rPr>
              <w:t>Scaling action</w:t>
            </w:r>
          </w:p>
        </w:tc>
      </w:tr>
      <w:tr>
        <w:tc>
          <w:tcPr>
            <w:tcW w:type="dxa" w:w="2556"/>
            <w:vAlign w:val="center"/>
          </w:tcPr>
          <w:p>
            <w:pPr>
              <w:jc w:val="center"/>
            </w:pPr>
            <w:r/>
            <w:r>
              <w:rPr>
                <w:rFonts w:ascii="Calibri" w:hAnsi="Calibri"/>
                <w:b w:val="0"/>
                <w:color w:val="243746"/>
                <w:sz w:val="17"/>
              </w:rPr>
              <w:t>Battery sensor</w:t>
            </w:r>
          </w:p>
        </w:tc>
        <w:tc>
          <w:tcPr>
            <w:tcW w:type="dxa" w:w="2556"/>
            <w:vAlign w:val="center"/>
          </w:tcPr>
          <w:p>
            <w:pPr>
              <w:jc w:val="center"/>
            </w:pPr>
            <w:r/>
            <w:r>
              <w:rPr>
                <w:rFonts w:ascii="Calibri" w:hAnsi="Calibri"/>
                <w:b w:val="0"/>
                <w:color w:val="243746"/>
                <w:sz w:val="17"/>
              </w:rPr>
              <w:t>LoRaWAN</w:t>
            </w:r>
          </w:p>
        </w:tc>
        <w:tc>
          <w:tcPr>
            <w:tcW w:type="dxa" w:w="2556"/>
            <w:vAlign w:val="center"/>
          </w:tcPr>
          <w:p>
            <w:pPr>
              <w:jc w:val="center"/>
            </w:pPr>
            <w:r/>
            <w:r>
              <w:rPr>
                <w:rFonts w:ascii="Calibri" w:hAnsi="Calibri"/>
                <w:b w:val="0"/>
                <w:color w:val="243746"/>
                <w:sz w:val="17"/>
              </w:rPr>
              <w:t>Collect, buffer and forward</w:t>
            </w:r>
          </w:p>
        </w:tc>
        <w:tc>
          <w:tcPr>
            <w:tcW w:type="dxa" w:w="2556"/>
            <w:vAlign w:val="center"/>
          </w:tcPr>
          <w:p>
            <w:pPr>
              <w:jc w:val="center"/>
            </w:pPr>
            <w:r/>
            <w:r>
              <w:rPr>
                <w:rFonts w:ascii="Calibri" w:hAnsi="Calibri"/>
                <w:b w:val="0"/>
                <w:color w:val="243746"/>
                <w:sz w:val="17"/>
              </w:rPr>
              <w:t>Add gateways / improve coverage</w:t>
            </w:r>
          </w:p>
        </w:tc>
      </w:tr>
      <w:tr>
        <w:tc>
          <w:tcPr>
            <w:tcW w:type="dxa" w:w="2556"/>
            <w:vAlign w:val="center"/>
            <w:shd w:fill="F5F8FA"/>
          </w:tcPr>
          <w:p>
            <w:pPr>
              <w:jc w:val="center"/>
            </w:pPr>
            <w:r/>
            <w:r>
              <w:rPr>
                <w:rFonts w:ascii="Calibri" w:hAnsi="Calibri"/>
                <w:b w:val="0"/>
                <w:color w:val="243746"/>
                <w:sz w:val="17"/>
              </w:rPr>
              <w:t>Powered sensor</w:t>
            </w:r>
          </w:p>
        </w:tc>
        <w:tc>
          <w:tcPr>
            <w:tcW w:type="dxa" w:w="2556"/>
            <w:vAlign w:val="center"/>
            <w:shd w:fill="F5F8FA"/>
          </w:tcPr>
          <w:p>
            <w:pPr>
              <w:jc w:val="center"/>
            </w:pPr>
            <w:r/>
            <w:r>
              <w:rPr>
                <w:rFonts w:ascii="Calibri" w:hAnsi="Calibri"/>
                <w:b w:val="0"/>
                <w:color w:val="243746"/>
                <w:sz w:val="17"/>
              </w:rPr>
              <w:t>Wi-Fi / Ethernet</w:t>
            </w:r>
          </w:p>
        </w:tc>
        <w:tc>
          <w:tcPr>
            <w:tcW w:type="dxa" w:w="2556"/>
            <w:vAlign w:val="center"/>
            <w:shd w:fill="F5F8FA"/>
          </w:tcPr>
          <w:p>
            <w:pPr>
              <w:jc w:val="center"/>
            </w:pPr>
            <w:r/>
            <w:r>
              <w:rPr>
                <w:rFonts w:ascii="Calibri" w:hAnsi="Calibri"/>
                <w:b w:val="0"/>
                <w:color w:val="243746"/>
                <w:sz w:val="17"/>
              </w:rPr>
              <w:t>Bridge and filter</w:t>
            </w:r>
          </w:p>
        </w:tc>
        <w:tc>
          <w:tcPr>
            <w:tcW w:type="dxa" w:w="2556"/>
            <w:vAlign w:val="center"/>
            <w:shd w:fill="F5F8FA"/>
          </w:tcPr>
          <w:p>
            <w:pPr>
              <w:jc w:val="center"/>
            </w:pPr>
            <w:r/>
            <w:r>
              <w:rPr>
                <w:rFonts w:ascii="Calibri" w:hAnsi="Calibri"/>
                <w:b w:val="0"/>
                <w:color w:val="243746"/>
                <w:sz w:val="17"/>
              </w:rPr>
              <w:t>Add access points / capacity</w:t>
            </w:r>
          </w:p>
        </w:tc>
      </w:tr>
      <w:tr>
        <w:tc>
          <w:tcPr>
            <w:tcW w:type="dxa" w:w="2556"/>
            <w:vAlign w:val="center"/>
          </w:tcPr>
          <w:p>
            <w:pPr>
              <w:jc w:val="center"/>
            </w:pPr>
            <w:r/>
            <w:r>
              <w:rPr>
                <w:rFonts w:ascii="Calibri" w:hAnsi="Calibri"/>
                <w:b w:val="0"/>
                <w:color w:val="243746"/>
                <w:sz w:val="17"/>
              </w:rPr>
              <w:t>Actuator</w:t>
            </w:r>
          </w:p>
        </w:tc>
        <w:tc>
          <w:tcPr>
            <w:tcW w:type="dxa" w:w="2556"/>
            <w:vAlign w:val="center"/>
          </w:tcPr>
          <w:p>
            <w:pPr>
              <w:jc w:val="center"/>
            </w:pPr>
            <w:r/>
            <w:r>
              <w:rPr>
                <w:rFonts w:ascii="Calibri" w:hAnsi="Calibri"/>
                <w:b w:val="0"/>
                <w:color w:val="243746"/>
                <w:sz w:val="17"/>
              </w:rPr>
              <w:t>Wi-Fi / LoRaWAN</w:t>
            </w:r>
          </w:p>
        </w:tc>
        <w:tc>
          <w:tcPr>
            <w:tcW w:type="dxa" w:w="2556"/>
            <w:vAlign w:val="center"/>
          </w:tcPr>
          <w:p>
            <w:pPr>
              <w:jc w:val="center"/>
            </w:pPr>
            <w:r/>
            <w:r>
              <w:rPr>
                <w:rFonts w:ascii="Calibri" w:hAnsi="Calibri"/>
                <w:b w:val="0"/>
                <w:color w:val="243746"/>
                <w:sz w:val="17"/>
              </w:rPr>
              <w:t>Route commands</w:t>
            </w:r>
          </w:p>
        </w:tc>
        <w:tc>
          <w:tcPr>
            <w:tcW w:type="dxa" w:w="2556"/>
            <w:vAlign w:val="center"/>
          </w:tcPr>
          <w:p>
            <w:pPr>
              <w:jc w:val="center"/>
            </w:pPr>
            <w:r/>
            <w:r>
              <w:rPr>
                <w:rFonts w:ascii="Calibri" w:hAnsi="Calibri"/>
                <w:b w:val="0"/>
                <w:color w:val="243746"/>
                <w:sz w:val="17"/>
              </w:rPr>
              <w:t>Partition by site/function</w:t>
            </w:r>
          </w:p>
        </w:tc>
      </w:tr>
      <w:tr>
        <w:tc>
          <w:tcPr>
            <w:tcW w:type="dxa" w:w="2556"/>
            <w:vAlign w:val="center"/>
            <w:shd w:fill="F5F8FA"/>
          </w:tcPr>
          <w:p>
            <w:pPr>
              <w:jc w:val="center"/>
            </w:pPr>
            <w:r/>
            <w:r>
              <w:rPr>
                <w:rFonts w:ascii="Calibri" w:hAnsi="Calibri"/>
                <w:b w:val="0"/>
                <w:color w:val="243746"/>
                <w:sz w:val="17"/>
              </w:rPr>
              <w:t>Edge gateway</w:t>
            </w:r>
          </w:p>
        </w:tc>
        <w:tc>
          <w:tcPr>
            <w:tcW w:type="dxa" w:w="2556"/>
            <w:vAlign w:val="center"/>
            <w:shd w:fill="F5F8FA"/>
          </w:tcPr>
          <w:p>
            <w:pPr>
              <w:jc w:val="center"/>
            </w:pPr>
            <w:r/>
            <w:r>
              <w:rPr>
                <w:rFonts w:ascii="Calibri" w:hAnsi="Calibri"/>
                <w:b w:val="0"/>
                <w:color w:val="243746"/>
                <w:sz w:val="17"/>
              </w:rPr>
              <w:t>Ethernet / cellular</w:t>
            </w:r>
          </w:p>
        </w:tc>
        <w:tc>
          <w:tcPr>
            <w:tcW w:type="dxa" w:w="2556"/>
            <w:vAlign w:val="center"/>
            <w:shd w:fill="F5F8FA"/>
          </w:tcPr>
          <w:p>
            <w:pPr>
              <w:jc w:val="center"/>
            </w:pPr>
            <w:r/>
            <w:r>
              <w:rPr>
                <w:rFonts w:ascii="Calibri" w:hAnsi="Calibri"/>
                <w:b w:val="0"/>
                <w:color w:val="243746"/>
                <w:sz w:val="17"/>
              </w:rPr>
              <w:t>Aggregate local traffic</w:t>
            </w:r>
          </w:p>
        </w:tc>
        <w:tc>
          <w:tcPr>
            <w:tcW w:type="dxa" w:w="2556"/>
            <w:vAlign w:val="center"/>
            <w:shd w:fill="F5F8FA"/>
          </w:tcPr>
          <w:p>
            <w:pPr>
              <w:jc w:val="center"/>
            </w:pPr>
            <w:r/>
            <w:r>
              <w:rPr>
                <w:rFonts w:ascii="Calibri" w:hAnsi="Calibri"/>
                <w:b w:val="0"/>
                <w:color w:val="243746"/>
                <w:sz w:val="17"/>
              </w:rPr>
              <w:t>Deploy gateway pool</w:t>
            </w:r>
          </w:p>
        </w:tc>
      </w:tr>
    </w:tbl>
    <w:p>
      <w:pPr>
        <w:pStyle w:val="Heading1"/>
      </w:pPr>
      <w:r>
        <w:t>6. DATA FLOW</w:t>
      </w:r>
    </w:p>
    <w:p>
      <w:pPr>
        <w:pStyle w:val="ListBullet"/>
        <w:spacing w:after="40"/>
      </w:pPr>
      <w:r>
        <w:t>1. Sense – the sensor measures the environment.</w:t>
      </w:r>
    </w:p>
    <w:p>
      <w:pPr>
        <w:pStyle w:val="ListBullet"/>
        <w:spacing w:after="40"/>
      </w:pPr>
      <w:r>
        <w:t>2. Transmit – the device sends the measurement using LoRaWAN or Wi-Fi.</w:t>
      </w:r>
    </w:p>
    <w:p>
      <w:pPr>
        <w:pStyle w:val="ListBullet"/>
        <w:spacing w:after="40"/>
      </w:pPr>
      <w:r>
        <w:t>3. Edge – the gateway validates, filters and buffers the data.</w:t>
      </w:r>
    </w:p>
    <w:p>
      <w:pPr>
        <w:pStyle w:val="ListBullet"/>
        <w:spacing w:after="40"/>
      </w:pPr>
      <w:r>
        <w:t>4. Ingest – the gateway publishes data to the MQTT broker.</w:t>
      </w:r>
    </w:p>
    <w:p>
      <w:pPr>
        <w:pStyle w:val="ListBullet"/>
        <w:spacing w:after="40"/>
      </w:pPr>
      <w:r>
        <w:t>5. Store – the cloud data service stores time-series information.</w:t>
      </w:r>
    </w:p>
    <w:p>
      <w:pPr>
        <w:pStyle w:val="ListBullet"/>
        <w:spacing w:after="40"/>
      </w:pPr>
      <w:r>
        <w:t>6. Use – dashboards, analytics and alert systems use the information.</w:t>
      </w:r>
    </w:p>
    <w:p>
      <w:r>
        <w:t>Example MQTT topic: site/{site}/gateway/{gateway}/device/{device}/telemetry</w:t>
      </w:r>
    </w:p>
    <w:p>
      <w:r>
        <w:t>Command path: Dashboard/rules → MQTT command topic → gateway → target device → acknowledgement/status.</w:t>
      </w:r>
    </w:p>
    <w:p>
      <w:pPr>
        <w:pStyle w:val="Heading1"/>
      </w:pPr>
      <w:r>
        <w:t>7. SCALABILITY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02A43"/>
          </w:tcPr>
          <w:p>
            <w:pPr>
              <w:jc w:val="center"/>
            </w:pPr>
            <w:r/>
            <w:r>
              <w:rPr>
                <w:rFonts w:ascii="Calibri" w:hAnsi="Calibri"/>
                <w:b/>
                <w:color w:val="FFFFFF"/>
                <w:sz w:val="18"/>
              </w:rPr>
              <w:t>Stage</w:t>
            </w:r>
          </w:p>
        </w:tc>
        <w:tc>
          <w:tcPr>
            <w:tcW w:type="dxa" w:w="3408"/>
            <w:vAlign w:val="center"/>
            <w:shd w:fill="102A43"/>
          </w:tcPr>
          <w:p>
            <w:pPr>
              <w:jc w:val="center"/>
            </w:pPr>
            <w:r/>
            <w:r>
              <w:rPr>
                <w:rFonts w:ascii="Calibri" w:hAnsi="Calibri"/>
                <w:b/>
                <w:color w:val="FFFFFF"/>
                <w:sz w:val="18"/>
              </w:rPr>
              <w:t>Architecture</w:t>
            </w:r>
          </w:p>
        </w:tc>
        <w:tc>
          <w:tcPr>
            <w:tcW w:type="dxa" w:w="3408"/>
            <w:vAlign w:val="center"/>
            <w:shd w:fill="102A43"/>
          </w:tcPr>
          <w:p>
            <w:pPr>
              <w:jc w:val="center"/>
            </w:pPr>
            <w:r/>
            <w:r>
              <w:rPr>
                <w:rFonts w:ascii="Calibri" w:hAnsi="Calibri"/>
                <w:b/>
                <w:color w:val="FFFFFF"/>
                <w:sz w:val="18"/>
              </w:rPr>
              <w:t>Upgrade path</w:t>
            </w:r>
          </w:p>
        </w:tc>
      </w:tr>
      <w:tr>
        <w:tc>
          <w:tcPr>
            <w:tcW w:type="dxa" w:w="3408"/>
            <w:vAlign w:val="center"/>
          </w:tcPr>
          <w:p>
            <w:pPr>
              <w:jc w:val="center"/>
            </w:pPr>
            <w:r/>
            <w:r>
              <w:rPr>
                <w:rFonts w:ascii="Calibri" w:hAnsi="Calibri"/>
                <w:b w:val="0"/>
                <w:color w:val="243746"/>
                <w:sz w:val="17"/>
              </w:rPr>
              <w:t>50–100 devices</w:t>
            </w:r>
          </w:p>
        </w:tc>
        <w:tc>
          <w:tcPr>
            <w:tcW w:type="dxa" w:w="3408"/>
            <w:vAlign w:val="center"/>
          </w:tcPr>
          <w:p>
            <w:pPr>
              <w:jc w:val="center"/>
            </w:pPr>
            <w:r/>
            <w:r>
              <w:rPr>
                <w:rFonts w:ascii="Calibri" w:hAnsi="Calibri"/>
                <w:b w:val="0"/>
                <w:color w:val="243746"/>
                <w:sz w:val="17"/>
              </w:rPr>
              <w:t>1 gateway + broker</w:t>
            </w:r>
          </w:p>
        </w:tc>
        <w:tc>
          <w:tcPr>
            <w:tcW w:type="dxa" w:w="3408"/>
            <w:vAlign w:val="center"/>
          </w:tcPr>
          <w:p>
            <w:pPr>
              <w:jc w:val="center"/>
            </w:pPr>
            <w:r/>
            <w:r>
              <w:rPr>
                <w:rFonts w:ascii="Calibri" w:hAnsi="Calibri"/>
                <w:b w:val="0"/>
                <w:color w:val="243746"/>
                <w:sz w:val="17"/>
              </w:rPr>
              <w:t>Validate coverage, identity and data format</w:t>
            </w:r>
          </w:p>
        </w:tc>
      </w:tr>
      <w:tr>
        <w:tc>
          <w:tcPr>
            <w:tcW w:type="dxa" w:w="3408"/>
            <w:vAlign w:val="center"/>
            <w:shd w:fill="F5F8FA"/>
          </w:tcPr>
          <w:p>
            <w:pPr>
              <w:jc w:val="center"/>
            </w:pPr>
            <w:r/>
            <w:r>
              <w:rPr>
                <w:rFonts w:ascii="Calibri" w:hAnsi="Calibri"/>
                <w:b w:val="0"/>
                <w:color w:val="243746"/>
                <w:sz w:val="17"/>
              </w:rPr>
              <w:t>100–500</w:t>
            </w:r>
          </w:p>
        </w:tc>
        <w:tc>
          <w:tcPr>
            <w:tcW w:type="dxa" w:w="3408"/>
            <w:vAlign w:val="center"/>
            <w:shd w:fill="F5F8FA"/>
          </w:tcPr>
          <w:p>
            <w:pPr>
              <w:jc w:val="center"/>
            </w:pPr>
            <w:r/>
            <w:r>
              <w:rPr>
                <w:rFonts w:ascii="Calibri" w:hAnsi="Calibri"/>
                <w:b w:val="0"/>
                <w:color w:val="243746"/>
                <w:sz w:val="17"/>
              </w:rPr>
              <w:t>Multiple gateways + segmented network</w:t>
            </w:r>
          </w:p>
        </w:tc>
        <w:tc>
          <w:tcPr>
            <w:tcW w:type="dxa" w:w="3408"/>
            <w:vAlign w:val="center"/>
            <w:shd w:fill="F5F8FA"/>
          </w:tcPr>
          <w:p>
            <w:pPr>
              <w:jc w:val="center"/>
            </w:pPr>
            <w:r/>
            <w:r>
              <w:rPr>
                <w:rFonts w:ascii="Calibri" w:hAnsi="Calibri"/>
                <w:b w:val="0"/>
                <w:color w:val="243746"/>
                <w:sz w:val="17"/>
              </w:rPr>
              <w:t>Distribute devices by zone</w:t>
            </w:r>
          </w:p>
        </w:tc>
      </w:tr>
      <w:tr>
        <w:tc>
          <w:tcPr>
            <w:tcW w:type="dxa" w:w="3408"/>
            <w:vAlign w:val="center"/>
          </w:tcPr>
          <w:p>
            <w:pPr>
              <w:jc w:val="center"/>
            </w:pPr>
            <w:r/>
            <w:r>
              <w:rPr>
                <w:rFonts w:ascii="Calibri" w:hAnsi="Calibri"/>
                <w:b w:val="0"/>
                <w:color w:val="243746"/>
                <w:sz w:val="17"/>
              </w:rPr>
              <w:t>500–2,000</w:t>
            </w:r>
          </w:p>
        </w:tc>
        <w:tc>
          <w:tcPr>
            <w:tcW w:type="dxa" w:w="3408"/>
            <w:vAlign w:val="center"/>
          </w:tcPr>
          <w:p>
            <w:pPr>
              <w:jc w:val="center"/>
            </w:pPr>
            <w:r/>
            <w:r>
              <w:rPr>
                <w:rFonts w:ascii="Calibri" w:hAnsi="Calibri"/>
                <w:b w:val="0"/>
                <w:color w:val="243746"/>
                <w:sz w:val="17"/>
              </w:rPr>
              <w:t>Gateway pool + redundant broker/processing</w:t>
            </w:r>
          </w:p>
        </w:tc>
        <w:tc>
          <w:tcPr>
            <w:tcW w:type="dxa" w:w="3408"/>
            <w:vAlign w:val="center"/>
          </w:tcPr>
          <w:p>
            <w:pPr>
              <w:jc w:val="center"/>
            </w:pPr>
            <w:r/>
            <w:r>
              <w:rPr>
                <w:rFonts w:ascii="Calibri" w:hAnsi="Calibri"/>
                <w:b w:val="0"/>
                <w:color w:val="243746"/>
                <w:sz w:val="17"/>
              </w:rPr>
              <w:t>Load-balance consumers and add storage</w:t>
            </w:r>
          </w:p>
        </w:tc>
      </w:tr>
      <w:tr>
        <w:tc>
          <w:tcPr>
            <w:tcW w:type="dxa" w:w="3408"/>
            <w:vAlign w:val="center"/>
            <w:shd w:fill="F5F8FA"/>
          </w:tcPr>
          <w:p>
            <w:pPr>
              <w:jc w:val="center"/>
            </w:pPr>
            <w:r/>
            <w:r>
              <w:rPr>
                <w:rFonts w:ascii="Calibri" w:hAnsi="Calibri"/>
                <w:b w:val="0"/>
                <w:color w:val="243746"/>
                <w:sz w:val="17"/>
              </w:rPr>
              <w:t>2,000–5,000+</w:t>
            </w:r>
          </w:p>
        </w:tc>
        <w:tc>
          <w:tcPr>
            <w:tcW w:type="dxa" w:w="3408"/>
            <w:vAlign w:val="center"/>
            <w:shd w:fill="F5F8FA"/>
          </w:tcPr>
          <w:p>
            <w:pPr>
              <w:jc w:val="center"/>
            </w:pPr>
            <w:r/>
            <w:r>
              <w:rPr>
                <w:rFonts w:ascii="Calibri" w:hAnsi="Calibri"/>
                <w:b w:val="0"/>
                <w:color w:val="243746"/>
                <w:sz w:val="17"/>
              </w:rPr>
              <w:t>Regional edge + horizontally scaled cloud</w:t>
            </w:r>
          </w:p>
        </w:tc>
        <w:tc>
          <w:tcPr>
            <w:tcW w:type="dxa" w:w="3408"/>
            <w:vAlign w:val="center"/>
            <w:shd w:fill="F5F8FA"/>
          </w:tcPr>
          <w:p>
            <w:pPr>
              <w:jc w:val="center"/>
            </w:pPr>
            <w:r/>
            <w:r>
              <w:rPr>
                <w:rFonts w:ascii="Calibri" w:hAnsi="Calibri"/>
                <w:b w:val="0"/>
                <w:color w:val="243746"/>
                <w:sz w:val="17"/>
              </w:rPr>
              <w:t>Add gateways, broker nodes and workers</w:t>
            </w:r>
          </w:p>
        </w:tc>
      </w:tr>
    </w:tbl>
    <w:p>
      <w:pPr>
        <w:pStyle w:val="ListBullet"/>
        <w:spacing w:after="40"/>
      </w:pPr>
      <w:r>
        <w:t>Gateway scaling: add gateways before sustained utilization becomes too high.</w:t>
      </w:r>
    </w:p>
    <w:p>
      <w:pPr>
        <w:pStyle w:val="ListBullet"/>
        <w:spacing w:after="40"/>
      </w:pPr>
      <w:r>
        <w:t>Broker scaling: use multiple broker or consumer instances as message load increases.</w:t>
      </w:r>
    </w:p>
    <w:p>
      <w:pPr>
        <w:pStyle w:val="ListBullet"/>
        <w:spacing w:after="40"/>
      </w:pPr>
      <w:r>
        <w:t>Database scaling: partition data by site/time and use retention and aggregation.</w:t>
      </w:r>
    </w:p>
    <w:p>
      <w:pPr>
        <w:pStyle w:val="ListBullet"/>
        <w:spacing w:after="40"/>
      </w:pPr>
      <w:r>
        <w:t>Network scaling: use VLANs and segmentation to isolate IoT traffic.</w:t>
      </w:r>
    </w:p>
    <w:p>
      <w:pPr>
        <w:pStyle w:val="ListBullet"/>
        <w:spacing w:after="40"/>
      </w:pPr>
      <w:r>
        <w:t>Device fleet scaling: automate provisioning, firmware updates, health checks and decommissioning.</w:t>
      </w:r>
    </w:p>
    <w:p>
      <w:r>
        <w:br w:type="page"/>
      </w:r>
    </w:p>
    <w:p>
      <w:pPr>
        <w:pStyle w:val="Heading1"/>
      </w:pPr>
      <w:r>
        <w:t>8. PERFORMANCE MODEL AND SIMULATION</w:t>
      </w:r>
    </w:p>
    <w:p>
      <w:r>
        <w:t>The assignment asks for simulation using Cisco Packet Tracer, GNS3 or another IoT simulator. The following model provides a planning baseline. These values are assumptions and should be replaced by actual simulator measurements if a simulator is used.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02A43"/>
          </w:tcPr>
          <w:p>
            <w:pPr>
              <w:jc w:val="center"/>
            </w:pPr>
            <w:r/>
            <w:r>
              <w:rPr>
                <w:rFonts w:ascii="Calibri" w:hAnsi="Calibri"/>
                <w:b/>
                <w:color w:val="FFFFFF"/>
                <w:sz w:val="18"/>
              </w:rPr>
              <w:t>Parameter</w:t>
            </w:r>
          </w:p>
        </w:tc>
        <w:tc>
          <w:tcPr>
            <w:tcW w:type="dxa" w:w="5112"/>
            <w:vAlign w:val="center"/>
            <w:shd w:fill="102A43"/>
          </w:tcPr>
          <w:p>
            <w:pPr>
              <w:jc w:val="center"/>
            </w:pPr>
            <w:r/>
            <w:r>
              <w:rPr>
                <w:rFonts w:ascii="Calibri" w:hAnsi="Calibri"/>
                <w:b/>
                <w:color w:val="FFFFFF"/>
                <w:sz w:val="18"/>
              </w:rPr>
              <w:t>Planning assumption</w:t>
            </w:r>
          </w:p>
        </w:tc>
      </w:tr>
      <w:tr>
        <w:tc>
          <w:tcPr>
            <w:tcW w:type="dxa" w:w="5112"/>
            <w:vAlign w:val="center"/>
          </w:tcPr>
          <w:p>
            <w:pPr>
              <w:jc w:val="center"/>
            </w:pPr>
            <w:r/>
            <w:r>
              <w:rPr>
                <w:rFonts w:ascii="Calibri" w:hAnsi="Calibri"/>
                <w:b w:val="0"/>
                <w:color w:val="243746"/>
                <w:sz w:val="17"/>
              </w:rPr>
              <w:t>Device count</w:t>
            </w:r>
          </w:p>
        </w:tc>
        <w:tc>
          <w:tcPr>
            <w:tcW w:type="dxa" w:w="5112"/>
            <w:vAlign w:val="center"/>
          </w:tcPr>
          <w:p>
            <w:pPr>
              <w:jc w:val="center"/>
            </w:pPr>
            <w:r/>
            <w:r>
              <w:rPr>
                <w:rFonts w:ascii="Calibri" w:hAnsi="Calibri"/>
                <w:b w:val="0"/>
                <w:color w:val="243746"/>
                <w:sz w:val="17"/>
              </w:rPr>
              <w:t>50 → 5,000 devices</w:t>
            </w:r>
          </w:p>
        </w:tc>
      </w:tr>
      <w:tr>
        <w:tc>
          <w:tcPr>
            <w:tcW w:type="dxa" w:w="5112"/>
            <w:vAlign w:val="center"/>
            <w:shd w:fill="F5F8FA"/>
          </w:tcPr>
          <w:p>
            <w:pPr>
              <w:jc w:val="center"/>
            </w:pPr>
            <w:r/>
            <w:r>
              <w:rPr>
                <w:rFonts w:ascii="Calibri" w:hAnsi="Calibri"/>
                <w:b w:val="0"/>
                <w:color w:val="243746"/>
                <w:sz w:val="17"/>
              </w:rPr>
              <w:t>Telemetry frequency</w:t>
            </w:r>
          </w:p>
        </w:tc>
        <w:tc>
          <w:tcPr>
            <w:tcW w:type="dxa" w:w="5112"/>
            <w:vAlign w:val="center"/>
            <w:shd w:fill="F5F8FA"/>
          </w:tcPr>
          <w:p>
            <w:pPr>
              <w:jc w:val="center"/>
            </w:pPr>
            <w:r/>
            <w:r>
              <w:rPr>
                <w:rFonts w:ascii="Calibri" w:hAnsi="Calibri"/>
                <w:b w:val="0"/>
                <w:color w:val="243746"/>
                <w:sz w:val="17"/>
              </w:rPr>
              <w:t>1 message/device/minute</w:t>
            </w:r>
          </w:p>
        </w:tc>
      </w:tr>
      <w:tr>
        <w:tc>
          <w:tcPr>
            <w:tcW w:type="dxa" w:w="5112"/>
            <w:vAlign w:val="center"/>
          </w:tcPr>
          <w:p>
            <w:pPr>
              <w:jc w:val="center"/>
            </w:pPr>
            <w:r/>
            <w:r>
              <w:rPr>
                <w:rFonts w:ascii="Calibri" w:hAnsi="Calibri"/>
                <w:b w:val="0"/>
                <w:color w:val="243746"/>
                <w:sz w:val="17"/>
              </w:rPr>
              <w:t>Average payload</w:t>
            </w:r>
          </w:p>
        </w:tc>
        <w:tc>
          <w:tcPr>
            <w:tcW w:type="dxa" w:w="5112"/>
            <w:vAlign w:val="center"/>
          </w:tcPr>
          <w:p>
            <w:pPr>
              <w:jc w:val="center"/>
            </w:pPr>
            <w:r/>
            <w:r>
              <w:rPr>
                <w:rFonts w:ascii="Calibri" w:hAnsi="Calibri"/>
                <w:b w:val="0"/>
                <w:color w:val="243746"/>
                <w:sz w:val="17"/>
              </w:rPr>
              <w:t>180 bytes</w:t>
            </w:r>
          </w:p>
        </w:tc>
      </w:tr>
      <w:tr>
        <w:tc>
          <w:tcPr>
            <w:tcW w:type="dxa" w:w="5112"/>
            <w:vAlign w:val="center"/>
            <w:shd w:fill="F5F8FA"/>
          </w:tcPr>
          <w:p>
            <w:pPr>
              <w:jc w:val="center"/>
            </w:pPr>
            <w:r/>
            <w:r>
              <w:rPr>
                <w:rFonts w:ascii="Calibri" w:hAnsi="Calibri"/>
                <w:b w:val="0"/>
                <w:color w:val="243746"/>
                <w:sz w:val="17"/>
              </w:rPr>
              <w:t>Edge forwarding ratio</w:t>
            </w:r>
          </w:p>
        </w:tc>
        <w:tc>
          <w:tcPr>
            <w:tcW w:type="dxa" w:w="5112"/>
            <w:vAlign w:val="center"/>
            <w:shd w:fill="F5F8FA"/>
          </w:tcPr>
          <w:p>
            <w:pPr>
              <w:jc w:val="center"/>
            </w:pPr>
            <w:r/>
            <w:r>
              <w:rPr>
                <w:rFonts w:ascii="Calibri" w:hAnsi="Calibri"/>
                <w:b w:val="0"/>
                <w:color w:val="243746"/>
                <w:sz w:val="17"/>
              </w:rPr>
              <w:t>10% after filtering/aggregation</w:t>
            </w:r>
          </w:p>
        </w:tc>
      </w:tr>
      <w:tr>
        <w:tc>
          <w:tcPr>
            <w:tcW w:type="dxa" w:w="5112"/>
            <w:vAlign w:val="center"/>
          </w:tcPr>
          <w:p>
            <w:pPr>
              <w:jc w:val="center"/>
            </w:pPr>
            <w:r/>
            <w:r>
              <w:rPr>
                <w:rFonts w:ascii="Calibri" w:hAnsi="Calibri"/>
                <w:b w:val="0"/>
                <w:color w:val="243746"/>
                <w:sz w:val="17"/>
              </w:rPr>
              <w:t>Gateway planning capacity</w:t>
            </w:r>
          </w:p>
        </w:tc>
        <w:tc>
          <w:tcPr>
            <w:tcW w:type="dxa" w:w="5112"/>
            <w:vAlign w:val="center"/>
          </w:tcPr>
          <w:p>
            <w:pPr>
              <w:jc w:val="center"/>
            </w:pPr>
            <w:r/>
            <w:r>
              <w:rPr>
                <w:rFonts w:ascii="Calibri" w:hAnsi="Calibri"/>
                <w:b w:val="0"/>
                <w:color w:val="243746"/>
                <w:sz w:val="17"/>
              </w:rPr>
              <w:t>750 messages/second</w:t>
            </w:r>
          </w:p>
        </w:tc>
      </w:tr>
      <w:tr>
        <w:tc>
          <w:tcPr>
            <w:tcW w:type="dxa" w:w="5112"/>
            <w:vAlign w:val="center"/>
            <w:shd w:fill="F5F8FA"/>
          </w:tcPr>
          <w:p>
            <w:pPr>
              <w:jc w:val="center"/>
            </w:pPr>
            <w:r/>
            <w:r>
              <w:rPr>
                <w:rFonts w:ascii="Calibri" w:hAnsi="Calibri"/>
                <w:b w:val="0"/>
                <w:color w:val="243746"/>
                <w:sz w:val="17"/>
              </w:rPr>
              <w:t>Upstream protocol</w:t>
            </w:r>
          </w:p>
        </w:tc>
        <w:tc>
          <w:tcPr>
            <w:tcW w:type="dxa" w:w="5112"/>
            <w:vAlign w:val="center"/>
            <w:shd w:fill="F5F8FA"/>
          </w:tcPr>
          <w:p>
            <w:pPr>
              <w:jc w:val="center"/>
            </w:pPr>
            <w:r/>
            <w:r>
              <w:rPr>
                <w:rFonts w:ascii="Calibri" w:hAnsi="Calibri"/>
                <w:b w:val="0"/>
                <w:color w:val="243746"/>
                <w:sz w:val="17"/>
              </w:rPr>
              <w:t>MQTT over IP</w:t>
            </w:r>
          </w:p>
        </w:tc>
      </w:tr>
    </w:tbl>
    <w:p>
      <w:pPr>
        <w:jc w:val="center"/>
      </w:pPr>
      <w:r>
        <w:rPr>
          <w:b/>
          <w:color w:val="1D5D8F"/>
          <w:sz w:val="20"/>
        </w:rPr>
        <w:t>Performance Graph 1 – Device Load and Edge Filtering</w:t>
      </w:r>
    </w:p>
    <w:p>
      <w:pPr>
        <w:jc w:val="center"/>
      </w:pPr>
      <w:r>
        <w:drawing>
          <wp:inline xmlns:a="http://schemas.openxmlformats.org/drawingml/2006/main" xmlns:pic="http://schemas.openxmlformats.org/drawingml/2006/picture">
            <wp:extent cx="5577840" cy="3098800"/>
            <wp:docPr id="1" name="Picture 1"/>
            <wp:cNvGraphicFramePr>
              <a:graphicFrameLocks noChangeAspect="1"/>
            </wp:cNvGraphicFramePr>
            <a:graphic>
              <a:graphicData uri="http://schemas.openxmlformats.org/drawingml/2006/picture">
                <pic:pic>
                  <pic:nvPicPr>
                    <pic:cNvPr id="0" name="iot_scalability_load.png"/>
                    <pic:cNvPicPr/>
                  </pic:nvPicPr>
                  <pic:blipFill>
                    <a:blip r:embed="rId9"/>
                    <a:stretch>
                      <a:fillRect/>
                    </a:stretch>
                  </pic:blipFill>
                  <pic:spPr>
                    <a:xfrm>
                      <a:off x="0" y="0"/>
                      <a:ext cx="5577840" cy="3098800"/>
                    </a:xfrm>
                    <a:prstGeom prst="rect"/>
                  </pic:spPr>
                </pic:pic>
              </a:graphicData>
            </a:graphic>
          </wp:inline>
        </w:drawing>
      </w:r>
    </w:p>
    <w:p>
      <w:r>
        <w:t>The model shows that raw traffic increases with device count, while edge filtering reduces the amount of data forwarded to the cloud.</w:t>
      </w:r>
    </w:p>
    <w:p>
      <w:pPr>
        <w:jc w:val="center"/>
      </w:pPr>
      <w:r>
        <w:rPr>
          <w:b/>
          <w:color w:val="1D5D8F"/>
          <w:sz w:val="20"/>
        </w:rPr>
        <w:t>Performance Graph 2 – Gateway Capacity Planning</w:t>
      </w:r>
    </w:p>
    <w:p>
      <w:pPr>
        <w:jc w:val="center"/>
      </w:pPr>
      <w:r>
        <w:drawing>
          <wp:inline xmlns:a="http://schemas.openxmlformats.org/drawingml/2006/main" xmlns:pic="http://schemas.openxmlformats.org/drawingml/2006/picture">
            <wp:extent cx="5577840" cy="3098800"/>
            <wp:docPr id="2" name="Picture 2"/>
            <wp:cNvGraphicFramePr>
              <a:graphicFrameLocks noChangeAspect="1"/>
            </wp:cNvGraphicFramePr>
            <a:graphic>
              <a:graphicData uri="http://schemas.openxmlformats.org/drawingml/2006/picture">
                <pic:pic>
                  <pic:nvPicPr>
                    <pic:cNvPr id="0" name="iot_capacity_model.png"/>
                    <pic:cNvPicPr/>
                  </pic:nvPicPr>
                  <pic:blipFill>
                    <a:blip r:embed="rId10"/>
                    <a:stretch>
                      <a:fillRect/>
                    </a:stretch>
                  </pic:blipFill>
                  <pic:spPr>
                    <a:xfrm>
                      <a:off x="0" y="0"/>
                      <a:ext cx="5577840" cy="3098800"/>
                    </a:xfrm>
                    <a:prstGeom prst="rect"/>
                  </pic:spPr>
                </pic:pic>
              </a:graphicData>
            </a:graphic>
          </wp:inline>
        </w:drawing>
      </w:r>
    </w:p>
    <w:p>
      <w:r>
        <w:t>The 80% gateway utilization level is used only as a planning threshold in this model. A real deployment should use measured gateway capacity.</w:t>
      </w:r>
    </w:p>
    <w:p>
      <w:pPr>
        <w:pStyle w:val="Heading1"/>
      </w:pPr>
      <w:r>
        <w:t>9. SIMULATION IMPLEMENTATION PLAN</w:t>
      </w:r>
    </w:p>
    <w:p>
      <w:pPr>
        <w:pStyle w:val="ListBullet"/>
        <w:spacing w:after="40"/>
      </w:pPr>
      <w:r>
        <w:t>Cisco Packet Tracer: create IoT end devices, gateway/IP network and cloud/application sections; increase device count and observe connectivity and traffic.</w:t>
      </w:r>
    </w:p>
    <w:p>
      <w:pPr>
        <w:pStyle w:val="ListBullet"/>
        <w:spacing w:after="40"/>
      </w:pPr>
      <w:r>
        <w:t>GNS3: emulate routers, switches, VLANs, gateway/server nodes and increasing MQTT traffic.</w:t>
      </w:r>
    </w:p>
    <w:p>
      <w:pPr>
        <w:pStyle w:val="ListBullet"/>
        <w:spacing w:after="40"/>
      </w:pPr>
      <w:r>
        <w:t>IoT simulator: model device generation, gateway coverage, packet loss and message traffic where supported.</w:t>
      </w:r>
    </w:p>
    <w:p>
      <w:pPr>
        <w:pStyle w:val="ListBullet"/>
        <w:spacing w:after="40"/>
      </w:pPr>
      <w:r>
        <w:t>Test sequence: 50 → 100 → 500 → 1,000 → 5,000 devices.</w:t>
      </w:r>
    </w:p>
    <w:p>
      <w:pPr>
        <w:pStyle w:val="ListBullet"/>
        <w:spacing w:after="40"/>
      </w:pPr>
      <w:r>
        <w:t>Record throughput, packet loss, latency, gateway utilization, queue depth and server resource usage.</w:t>
      </w:r>
    </w:p>
    <w:p>
      <w:pPr>
        <w:pStyle w:val="ListBullet"/>
        <w:spacing w:after="40"/>
      </w:pPr>
      <w:r>
        <w:t>Keep screenshots of the topology and graphs as evidence of the simulation.</w:t>
      </w:r>
    </w:p>
    <w:p>
      <w:pPr>
        <w:pStyle w:val="Heading1"/>
      </w:pPr>
      <w:r>
        <w:t>10. RISK ASSESSMENT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02A43"/>
          </w:tcPr>
          <w:p>
            <w:pPr>
              <w:jc w:val="center"/>
            </w:pPr>
            <w:r/>
            <w:r>
              <w:rPr>
                <w:rFonts w:ascii="Calibri" w:hAnsi="Calibri"/>
                <w:b/>
                <w:color w:val="FFFFFF"/>
                <w:sz w:val="18"/>
              </w:rPr>
              <w:t>Risk</w:t>
            </w:r>
          </w:p>
        </w:tc>
        <w:tc>
          <w:tcPr>
            <w:tcW w:type="dxa" w:w="3408"/>
            <w:vAlign w:val="center"/>
            <w:shd w:fill="102A43"/>
          </w:tcPr>
          <w:p>
            <w:pPr>
              <w:jc w:val="center"/>
            </w:pPr>
            <w:r/>
            <w:r>
              <w:rPr>
                <w:rFonts w:ascii="Calibri" w:hAnsi="Calibri"/>
                <w:b/>
                <w:color w:val="FFFFFF"/>
                <w:sz w:val="18"/>
              </w:rPr>
              <w:t>Severity</w:t>
            </w:r>
          </w:p>
        </w:tc>
        <w:tc>
          <w:tcPr>
            <w:tcW w:type="dxa" w:w="3408"/>
            <w:vAlign w:val="center"/>
            <w:shd w:fill="102A43"/>
          </w:tcPr>
          <w:p>
            <w:pPr>
              <w:jc w:val="center"/>
            </w:pPr>
            <w:r/>
            <w:r>
              <w:rPr>
                <w:rFonts w:ascii="Calibri" w:hAnsi="Calibri"/>
                <w:b/>
                <w:color w:val="FFFFFF"/>
                <w:sz w:val="18"/>
              </w:rPr>
              <w:t>Mitigation</w:t>
            </w:r>
          </w:p>
        </w:tc>
      </w:tr>
      <w:tr>
        <w:tc>
          <w:tcPr>
            <w:tcW w:type="dxa" w:w="3408"/>
            <w:vAlign w:val="center"/>
          </w:tcPr>
          <w:p>
            <w:pPr>
              <w:jc w:val="center"/>
            </w:pPr>
            <w:r/>
            <w:r>
              <w:rPr>
                <w:rFonts w:ascii="Calibri" w:hAnsi="Calibri"/>
                <w:b w:val="0"/>
                <w:color w:val="243746"/>
                <w:sz w:val="17"/>
              </w:rPr>
              <w:t>Gateway overload</w:t>
            </w:r>
          </w:p>
        </w:tc>
        <w:tc>
          <w:tcPr>
            <w:tcW w:type="dxa" w:w="3408"/>
            <w:vAlign w:val="center"/>
          </w:tcPr>
          <w:p>
            <w:pPr>
              <w:jc w:val="center"/>
            </w:pPr>
            <w:r/>
            <w:r>
              <w:rPr>
                <w:rFonts w:ascii="Calibri" w:hAnsi="Calibri"/>
                <w:b w:val="0"/>
                <w:color w:val="243746"/>
                <w:sz w:val="17"/>
              </w:rPr>
              <w:t>High</w:t>
            </w:r>
          </w:p>
        </w:tc>
        <w:tc>
          <w:tcPr>
            <w:tcW w:type="dxa" w:w="3408"/>
            <w:vAlign w:val="center"/>
          </w:tcPr>
          <w:p>
            <w:pPr>
              <w:jc w:val="center"/>
            </w:pPr>
            <w:r/>
            <w:r>
              <w:rPr>
                <w:rFonts w:ascii="Calibri" w:hAnsi="Calibri"/>
                <w:b w:val="0"/>
                <w:color w:val="243746"/>
                <w:sz w:val="17"/>
              </w:rPr>
              <w:t>Monitor utilization, add gateways, distribute devices and filter at edge.</w:t>
            </w:r>
          </w:p>
        </w:tc>
      </w:tr>
      <w:tr>
        <w:tc>
          <w:tcPr>
            <w:tcW w:type="dxa" w:w="3408"/>
            <w:vAlign w:val="center"/>
            <w:shd w:fill="F5F8FA"/>
          </w:tcPr>
          <w:p>
            <w:pPr>
              <w:jc w:val="center"/>
            </w:pPr>
            <w:r/>
            <w:r>
              <w:rPr>
                <w:rFonts w:ascii="Calibri" w:hAnsi="Calibri"/>
                <w:b w:val="0"/>
                <w:color w:val="243746"/>
                <w:sz w:val="17"/>
              </w:rPr>
              <w:t>Broker bottleneck</w:t>
            </w:r>
          </w:p>
        </w:tc>
        <w:tc>
          <w:tcPr>
            <w:tcW w:type="dxa" w:w="3408"/>
            <w:vAlign w:val="center"/>
            <w:shd w:fill="F5F8FA"/>
          </w:tcPr>
          <w:p>
            <w:pPr>
              <w:jc w:val="center"/>
            </w:pPr>
            <w:r/>
            <w:r>
              <w:rPr>
                <w:rFonts w:ascii="Calibri" w:hAnsi="Calibri"/>
                <w:b w:val="0"/>
                <w:color w:val="243746"/>
                <w:sz w:val="17"/>
              </w:rPr>
              <w:t>High</w:t>
            </w:r>
          </w:p>
        </w:tc>
        <w:tc>
          <w:tcPr>
            <w:tcW w:type="dxa" w:w="3408"/>
            <w:vAlign w:val="center"/>
            <w:shd w:fill="F5F8FA"/>
          </w:tcPr>
          <w:p>
            <w:pPr>
              <w:jc w:val="center"/>
            </w:pPr>
            <w:r/>
            <w:r>
              <w:rPr>
                <w:rFonts w:ascii="Calibri" w:hAnsi="Calibri"/>
                <w:b w:val="0"/>
                <w:color w:val="243746"/>
                <w:sz w:val="17"/>
              </w:rPr>
              <w:t>Use multiple broker/consumer instances and distribute message processing.</w:t>
            </w:r>
          </w:p>
        </w:tc>
      </w:tr>
      <w:tr>
        <w:tc>
          <w:tcPr>
            <w:tcW w:type="dxa" w:w="3408"/>
            <w:vAlign w:val="center"/>
          </w:tcPr>
          <w:p>
            <w:pPr>
              <w:jc w:val="center"/>
            </w:pPr>
            <w:r/>
            <w:r>
              <w:rPr>
                <w:rFonts w:ascii="Calibri" w:hAnsi="Calibri"/>
                <w:b w:val="0"/>
                <w:color w:val="243746"/>
                <w:sz w:val="17"/>
              </w:rPr>
              <w:t>Wireless interference</w:t>
            </w:r>
          </w:p>
        </w:tc>
        <w:tc>
          <w:tcPr>
            <w:tcW w:type="dxa" w:w="3408"/>
            <w:vAlign w:val="center"/>
          </w:tcPr>
          <w:p>
            <w:pPr>
              <w:jc w:val="center"/>
            </w:pPr>
            <w:r/>
            <w:r>
              <w:rPr>
                <w:rFonts w:ascii="Calibri" w:hAnsi="Calibri"/>
                <w:b w:val="0"/>
                <w:color w:val="243746"/>
                <w:sz w:val="17"/>
              </w:rPr>
              <w:t>Medium–High</w:t>
            </w:r>
          </w:p>
        </w:tc>
        <w:tc>
          <w:tcPr>
            <w:tcW w:type="dxa" w:w="3408"/>
            <w:vAlign w:val="center"/>
          </w:tcPr>
          <w:p>
            <w:pPr>
              <w:jc w:val="center"/>
            </w:pPr>
            <w:r/>
            <w:r>
              <w:rPr>
                <w:rFonts w:ascii="Calibri" w:hAnsi="Calibri"/>
                <w:b w:val="0"/>
                <w:color w:val="243746"/>
                <w:sz w:val="17"/>
              </w:rPr>
              <w:t>Site survey, channel planning and suitable gateway placement.</w:t>
            </w:r>
          </w:p>
        </w:tc>
      </w:tr>
      <w:tr>
        <w:tc>
          <w:tcPr>
            <w:tcW w:type="dxa" w:w="3408"/>
            <w:vAlign w:val="center"/>
            <w:shd w:fill="F5F8FA"/>
          </w:tcPr>
          <w:p>
            <w:pPr>
              <w:jc w:val="center"/>
            </w:pPr>
            <w:r/>
            <w:r>
              <w:rPr>
                <w:rFonts w:ascii="Calibri" w:hAnsi="Calibri"/>
                <w:b w:val="0"/>
                <w:color w:val="243746"/>
                <w:sz w:val="17"/>
              </w:rPr>
              <w:t>Backhaul/cloud outage</w:t>
            </w:r>
          </w:p>
        </w:tc>
        <w:tc>
          <w:tcPr>
            <w:tcW w:type="dxa" w:w="3408"/>
            <w:vAlign w:val="center"/>
            <w:shd w:fill="F5F8FA"/>
          </w:tcPr>
          <w:p>
            <w:pPr>
              <w:jc w:val="center"/>
            </w:pPr>
            <w:r/>
            <w:r>
              <w:rPr>
                <w:rFonts w:ascii="Calibri" w:hAnsi="Calibri"/>
                <w:b w:val="0"/>
                <w:color w:val="243746"/>
                <w:sz w:val="17"/>
              </w:rPr>
              <w:t>High</w:t>
            </w:r>
          </w:p>
        </w:tc>
        <w:tc>
          <w:tcPr>
            <w:tcW w:type="dxa" w:w="3408"/>
            <w:vAlign w:val="center"/>
            <w:shd w:fill="F5F8FA"/>
          </w:tcPr>
          <w:p>
            <w:pPr>
              <w:jc w:val="center"/>
            </w:pPr>
            <w:r/>
            <w:r>
              <w:rPr>
                <w:rFonts w:ascii="Calibri" w:hAnsi="Calibri"/>
                <w:b w:val="0"/>
                <w:color w:val="243746"/>
                <w:sz w:val="17"/>
              </w:rPr>
              <w:t>Edge buffering, local rules and store-and-forward.</w:t>
            </w:r>
          </w:p>
        </w:tc>
      </w:tr>
      <w:tr>
        <w:tc>
          <w:tcPr>
            <w:tcW w:type="dxa" w:w="3408"/>
            <w:vAlign w:val="center"/>
          </w:tcPr>
          <w:p>
            <w:pPr>
              <w:jc w:val="center"/>
            </w:pPr>
            <w:r/>
            <w:r>
              <w:rPr>
                <w:rFonts w:ascii="Calibri" w:hAnsi="Calibri"/>
                <w:b w:val="0"/>
                <w:color w:val="243746"/>
                <w:sz w:val="17"/>
              </w:rPr>
              <w:t>Traffic bursts</w:t>
            </w:r>
          </w:p>
        </w:tc>
        <w:tc>
          <w:tcPr>
            <w:tcW w:type="dxa" w:w="3408"/>
            <w:vAlign w:val="center"/>
          </w:tcPr>
          <w:p>
            <w:pPr>
              <w:jc w:val="center"/>
            </w:pPr>
            <w:r/>
            <w:r>
              <w:rPr>
                <w:rFonts w:ascii="Calibri" w:hAnsi="Calibri"/>
                <w:b w:val="0"/>
                <w:color w:val="243746"/>
                <w:sz w:val="17"/>
              </w:rPr>
              <w:t>High</w:t>
            </w:r>
          </w:p>
        </w:tc>
        <w:tc>
          <w:tcPr>
            <w:tcW w:type="dxa" w:w="3408"/>
            <w:vAlign w:val="center"/>
          </w:tcPr>
          <w:p>
            <w:pPr>
              <w:jc w:val="center"/>
            </w:pPr>
            <w:r/>
            <w:r>
              <w:rPr>
                <w:rFonts w:ascii="Calibri" w:hAnsi="Calibri"/>
                <w:b w:val="0"/>
                <w:color w:val="243746"/>
                <w:sz w:val="17"/>
              </w:rPr>
              <w:t>Queueing, batching, rate limiting and backpressure.</w:t>
            </w:r>
          </w:p>
        </w:tc>
      </w:tr>
      <w:tr>
        <w:tc>
          <w:tcPr>
            <w:tcW w:type="dxa" w:w="3408"/>
            <w:vAlign w:val="center"/>
            <w:shd w:fill="F5F8FA"/>
          </w:tcPr>
          <w:p>
            <w:pPr>
              <w:jc w:val="center"/>
            </w:pPr>
            <w:r/>
            <w:r>
              <w:rPr>
                <w:rFonts w:ascii="Calibri" w:hAnsi="Calibri"/>
                <w:b w:val="0"/>
                <w:color w:val="243746"/>
                <w:sz w:val="17"/>
              </w:rPr>
              <w:t>Device identity compromise</w:t>
            </w:r>
          </w:p>
        </w:tc>
        <w:tc>
          <w:tcPr>
            <w:tcW w:type="dxa" w:w="3408"/>
            <w:vAlign w:val="center"/>
            <w:shd w:fill="F5F8FA"/>
          </w:tcPr>
          <w:p>
            <w:pPr>
              <w:jc w:val="center"/>
            </w:pPr>
            <w:r/>
            <w:r>
              <w:rPr>
                <w:rFonts w:ascii="Calibri" w:hAnsi="Calibri"/>
                <w:b w:val="0"/>
                <w:color w:val="243746"/>
                <w:sz w:val="17"/>
              </w:rPr>
              <w:t>High</w:t>
            </w:r>
          </w:p>
        </w:tc>
        <w:tc>
          <w:tcPr>
            <w:tcW w:type="dxa" w:w="3408"/>
            <w:vAlign w:val="center"/>
            <w:shd w:fill="F5F8FA"/>
          </w:tcPr>
          <w:p>
            <w:pPr>
              <w:jc w:val="center"/>
            </w:pPr>
            <w:r/>
            <w:r>
              <w:rPr>
                <w:rFonts w:ascii="Calibri" w:hAnsi="Calibri"/>
                <w:b w:val="0"/>
                <w:color w:val="243746"/>
                <w:sz w:val="17"/>
              </w:rPr>
              <w:t>Unique credentials, secure provisioning and access control.</w:t>
            </w:r>
          </w:p>
        </w:tc>
      </w:tr>
      <w:tr>
        <w:tc>
          <w:tcPr>
            <w:tcW w:type="dxa" w:w="3408"/>
            <w:vAlign w:val="center"/>
          </w:tcPr>
          <w:p>
            <w:pPr>
              <w:jc w:val="center"/>
            </w:pPr>
            <w:r/>
            <w:r>
              <w:rPr>
                <w:rFonts w:ascii="Calibri" w:hAnsi="Calibri"/>
                <w:b w:val="0"/>
                <w:color w:val="243746"/>
                <w:sz w:val="17"/>
              </w:rPr>
              <w:t>Database growth</w:t>
            </w:r>
          </w:p>
        </w:tc>
        <w:tc>
          <w:tcPr>
            <w:tcW w:type="dxa" w:w="3408"/>
            <w:vAlign w:val="center"/>
          </w:tcPr>
          <w:p>
            <w:pPr>
              <w:jc w:val="center"/>
            </w:pPr>
            <w:r/>
            <w:r>
              <w:rPr>
                <w:rFonts w:ascii="Calibri" w:hAnsi="Calibri"/>
                <w:b w:val="0"/>
                <w:color w:val="243746"/>
                <w:sz w:val="17"/>
              </w:rPr>
              <w:t>Medium–High</w:t>
            </w:r>
          </w:p>
        </w:tc>
        <w:tc>
          <w:tcPr>
            <w:tcW w:type="dxa" w:w="3408"/>
            <w:vAlign w:val="center"/>
          </w:tcPr>
          <w:p>
            <w:pPr>
              <w:jc w:val="center"/>
            </w:pPr>
            <w:r/>
            <w:r>
              <w:rPr>
                <w:rFonts w:ascii="Calibri" w:hAnsi="Calibri"/>
                <w:b w:val="0"/>
                <w:color w:val="243746"/>
                <w:sz w:val="17"/>
              </w:rPr>
              <w:t>Retention, partitioning, aggregation and tiered storage.</w:t>
            </w:r>
          </w:p>
        </w:tc>
      </w:tr>
      <w:tr>
        <w:tc>
          <w:tcPr>
            <w:tcW w:type="dxa" w:w="3408"/>
            <w:vAlign w:val="center"/>
            <w:shd w:fill="F5F8FA"/>
          </w:tcPr>
          <w:p>
            <w:pPr>
              <w:jc w:val="center"/>
            </w:pPr>
            <w:r/>
            <w:r>
              <w:rPr>
                <w:rFonts w:ascii="Calibri" w:hAnsi="Calibri"/>
                <w:b w:val="0"/>
                <w:color w:val="243746"/>
                <w:sz w:val="17"/>
              </w:rPr>
              <w:t>Firmware complexity</w:t>
            </w:r>
          </w:p>
        </w:tc>
        <w:tc>
          <w:tcPr>
            <w:tcW w:type="dxa" w:w="3408"/>
            <w:vAlign w:val="center"/>
            <w:shd w:fill="F5F8FA"/>
          </w:tcPr>
          <w:p>
            <w:pPr>
              <w:jc w:val="center"/>
            </w:pPr>
            <w:r/>
            <w:r>
              <w:rPr>
                <w:rFonts w:ascii="Calibri" w:hAnsi="Calibri"/>
                <w:b w:val="0"/>
                <w:color w:val="243746"/>
                <w:sz w:val="17"/>
              </w:rPr>
              <w:t>Medium</w:t>
            </w:r>
          </w:p>
        </w:tc>
        <w:tc>
          <w:tcPr>
            <w:tcW w:type="dxa" w:w="3408"/>
            <w:vAlign w:val="center"/>
            <w:shd w:fill="F5F8FA"/>
          </w:tcPr>
          <w:p>
            <w:pPr>
              <w:jc w:val="center"/>
            </w:pPr>
            <w:r/>
            <w:r>
              <w:rPr>
                <w:rFonts w:ascii="Calibri" w:hAnsi="Calibri"/>
                <w:b w:val="0"/>
                <w:color w:val="243746"/>
                <w:sz w:val="17"/>
              </w:rPr>
              <w:t>Staged updates, monitoring and rollback procedures.</w:t>
            </w:r>
          </w:p>
        </w:tc>
      </w:tr>
    </w:tbl>
    <w:p>
      <w:r>
        <w:br w:type="page"/>
      </w:r>
    </w:p>
    <w:p>
      <w:pPr>
        <w:pStyle w:val="Heading1"/>
      </w:pPr>
      <w:r>
        <w:t>11. SECURITY AND OPERATIONS</w:t>
      </w:r>
    </w:p>
    <w:p>
      <w:pPr>
        <w:pStyle w:val="ListBullet"/>
        <w:spacing w:after="40"/>
      </w:pPr>
      <w:r>
        <w:t>Use a unique identity and credentials/keys for every device.</w:t>
      </w:r>
    </w:p>
    <w:p>
      <w:pPr>
        <w:pStyle w:val="ListBullet"/>
        <w:spacing w:after="40"/>
      </w:pPr>
      <w:r>
        <w:t>Use encrypted communication for network traffic where supported.</w:t>
      </w:r>
    </w:p>
    <w:p>
      <w:pPr>
        <w:pStyle w:val="ListBullet"/>
        <w:spacing w:after="40"/>
      </w:pPr>
      <w:r>
        <w:t>Separate IoT networks from general user networks using VLANs/firewalls where appropriate.</w:t>
      </w:r>
    </w:p>
    <w:p>
      <w:pPr>
        <w:pStyle w:val="ListBullet"/>
        <w:spacing w:after="40"/>
      </w:pPr>
      <w:r>
        <w:t>Apply least-privilege permissions to devices and applications.</w:t>
      </w:r>
    </w:p>
    <w:p>
      <w:pPr>
        <w:pStyle w:val="ListBullet"/>
        <w:spacing w:after="40"/>
      </w:pPr>
      <w:r>
        <w:t>Monitor connectivity, message rates, latency, gateway health and failures.</w:t>
      </w:r>
    </w:p>
    <w:p>
      <w:pPr>
        <w:pStyle w:val="ListBullet"/>
        <w:spacing w:after="40"/>
      </w:pPr>
      <w:r>
        <w:t>Maintain a lifecycle process for onboarding, configuration, firmware updates and decommissioning.</w:t>
      </w:r>
    </w:p>
    <w:p>
      <w:pPr>
        <w:pStyle w:val="Heading1"/>
      </w:pPr>
      <w:r>
        <w:t>12. ASSUMPTIONS AND LIMITATIONS</w:t>
      </w:r>
    </w:p>
    <w:p>
      <w:pPr>
        <w:pStyle w:val="ListBullet"/>
        <w:spacing w:after="40"/>
      </w:pPr>
      <w:r>
        <w:t>This is a conceptual reference architecture, not a production deployment specification.</w:t>
      </w:r>
    </w:p>
    <w:p>
      <w:pPr>
        <w:pStyle w:val="ListBullet"/>
        <w:spacing w:after="40"/>
      </w:pPr>
      <w:r>
        <w:t>Actual radio range, gateway capacity, latency, packet loss and broker throughput depend on hardware, environment and configuration.</w:t>
      </w:r>
    </w:p>
    <w:p>
      <w:pPr>
        <w:pStyle w:val="ListBullet"/>
        <w:spacing w:after="40"/>
      </w:pPr>
      <w:r>
        <w:t>The two performance graphs are analytical planning models, not claimed Packet Tracer or GNS3 measurements.</w:t>
      </w:r>
    </w:p>
    <w:p>
      <w:pPr>
        <w:pStyle w:val="ListBullet"/>
        <w:spacing w:after="40"/>
      </w:pPr>
      <w:r>
        <w:t>If actual simulator evidence is required, add your own topology screenshot and measured results in Section 9.</w:t>
      </w:r>
    </w:p>
    <w:p>
      <w:pPr>
        <w:pStyle w:val="Heading1"/>
      </w:pPr>
      <w:r>
        <w:t>13. CONCLUSION</w:t>
      </w:r>
    </w:p>
    <w:p>
      <w:r>
        <w:t>The proposed architecture separates field connectivity, edge processing, network transport, cloud ingestion, data services and applications. This creates clear scaling points: additional gateways increase field capacity, broker and processing resources increase message-handling capacity, and cloud storage and analytics can scale independently.</w:t>
      </w:r>
    </w:p>
    <w:p>
      <w:r>
        <w:t>The design covers the Week 1 requirements: topology research, device interconnections, communication protocols, network structure, data flow, scalability challenges, simulation planning, expected performance metrics, risk assessment and design justification. The architecture can start as a small pilot and grow through controlled expansion.</w:t>
      </w:r>
    </w:p>
    <w:p>
      <w:pPr>
        <w:pStyle w:val="Heading1"/>
      </w:pPr>
      <w:r>
        <w:t>14. REFERENCES</w:t>
      </w:r>
    </w:p>
    <w:p>
      <w:pPr>
        <w:pStyle w:val="ListBullet"/>
        <w:spacing w:after="40"/>
      </w:pPr>
      <w:r>
        <w:t>OASIS – MQTT Version 5.0 specification.</w:t>
      </w:r>
    </w:p>
    <w:p>
      <w:pPr>
        <w:pStyle w:val="ListBullet"/>
        <w:spacing w:after="40"/>
      </w:pPr>
      <w:r>
        <w:t>LoRa Alliance – LoRaWAN Specification and architecture documentation.</w:t>
      </w:r>
    </w:p>
    <w:p>
      <w:pPr>
        <w:pStyle w:val="ListBullet"/>
        <w:spacing w:after="40"/>
      </w:pPr>
      <w:r>
        <w:t>AWS IoT Lens – guidance on edge computing and gateway preprocessing.</w:t>
      </w:r>
    </w:p>
    <w:p>
      <w:pPr>
        <w:pStyle w:val="ListBullet"/>
        <w:spacing w:after="40"/>
      </w:pPr>
      <w:r>
        <w:t>Cisco Packet Tracer / GNS3 – proposed tools for topology and traffic simulation.</w:t>
      </w:r>
    </w:p>
    <w:sectPr w:rsidR="00FC693F" w:rsidRPr="0006063C" w:rsidSect="00034616">
      <w:footerReference w:type="default" r:id="rId11"/>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7786"/>
        <w:sz w:val="16"/>
      </w:rPr>
      <w:t>Week 1 – Scalable IoT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02A4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D5D8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02A4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