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B2854" w14:textId="77777777" w:rsidR="00215B5B" w:rsidRPr="00215B5B" w:rsidRDefault="00215B5B" w:rsidP="00215B5B">
      <w:r w:rsidRPr="00215B5B">
        <w:t>Critical Analysis of Māori and Western Theories of Development and Learning in Te Whāriki</w:t>
      </w:r>
    </w:p>
    <w:p w14:paraId="17F6EE64" w14:textId="77777777" w:rsidR="00215B5B" w:rsidRPr="00215B5B" w:rsidRDefault="00215B5B" w:rsidP="00215B5B">
      <w:r w:rsidRPr="00215B5B">
        <w:t>Te Whāriki, New Zealand's early childhood curriculum, is a unique framework that integrates both Māori and Western theories of development and learning. This synthesis reflects the bicultural foundation of Aotearoa New Zealand, ensuring that the curriculum is inclusive and holistic. The influence of Māori theories, such as Te Whare Tapa Whā and Te Wheke, alongside Western theories like Bronfenbrenner’s ecological systems theory and Vygotsky’s sociocultural theory, is evident in the principles, strands, and practices of Te Whāriki.</w:t>
      </w:r>
    </w:p>
    <w:p w14:paraId="77243DED" w14:textId="77777777" w:rsidR="00215B5B" w:rsidRPr="00215B5B" w:rsidRDefault="00215B5B" w:rsidP="00215B5B">
      <w:r w:rsidRPr="00215B5B">
        <w:t>Māori Theories in Te Whāriki</w:t>
      </w:r>
    </w:p>
    <w:p w14:paraId="4468B7DD" w14:textId="77777777" w:rsidR="00215B5B" w:rsidRPr="00215B5B" w:rsidRDefault="00215B5B" w:rsidP="00215B5B">
      <w:r w:rsidRPr="00215B5B">
        <w:t>Māori theories emphasize holistic development, interconnectedness, and the importance of cultural identity, which are central to Te Whāriki. The </w:t>
      </w:r>
      <w:r w:rsidRPr="00215B5B">
        <w:rPr>
          <w:b/>
          <w:bCs/>
        </w:rPr>
        <w:t>Te Whare Tapa Whā</w:t>
      </w:r>
      <w:r w:rsidRPr="00215B5B">
        <w:t> model, which views health and well-being through four dimensions—taha wairua (spiritual), taha hinengaro (mental), taha tinana (physical), and taha whānau (family)—aligns with the curriculum’s focus on the whole child. For example, the strand </w:t>
      </w:r>
      <w:r w:rsidRPr="00215B5B">
        <w:rPr>
          <w:i/>
          <w:iCs/>
        </w:rPr>
        <w:t>Mana Atua</w:t>
      </w:r>
      <w:r w:rsidRPr="00215B5B">
        <w:t> (Well-being) reflects taha wairua and taha tinana by promoting spiritual and physical health, while </w:t>
      </w:r>
      <w:r w:rsidRPr="00215B5B">
        <w:rPr>
          <w:i/>
          <w:iCs/>
        </w:rPr>
        <w:t>Mana Whenua</w:t>
      </w:r>
      <w:r w:rsidRPr="00215B5B">
        <w:t> (Belonging) mirrors taha whānau by emphasizing the child’s connection to family and community.</w:t>
      </w:r>
    </w:p>
    <w:p w14:paraId="0062826A" w14:textId="77777777" w:rsidR="00215B5B" w:rsidRPr="00215B5B" w:rsidRDefault="00215B5B" w:rsidP="00215B5B">
      <w:r w:rsidRPr="00215B5B">
        <w:t>Similarly, </w:t>
      </w:r>
      <w:r w:rsidRPr="00215B5B">
        <w:rPr>
          <w:b/>
          <w:bCs/>
        </w:rPr>
        <w:t>Te Wheke</w:t>
      </w:r>
      <w:r w:rsidRPr="00215B5B">
        <w:t>, the octopus model, underscores the importance of family and interconnected dimensions of health, such as wairuatanga (spirituality) and whanaungatanga (relationships). These concepts are woven into Te Whāriki’s principles of </w:t>
      </w:r>
      <w:r w:rsidRPr="00215B5B">
        <w:rPr>
          <w:i/>
          <w:iCs/>
        </w:rPr>
        <w:t>Whakamana</w:t>
      </w:r>
      <w:r w:rsidRPr="00215B5B">
        <w:t> (Empowerment) and </w:t>
      </w:r>
      <w:r w:rsidRPr="00215B5B">
        <w:rPr>
          <w:i/>
          <w:iCs/>
        </w:rPr>
        <w:t>Kotahitanga</w:t>
      </w:r>
      <w:r w:rsidRPr="00215B5B">
        <w:t> (Holistic Development), which advocate for nurturing children’s cultural identity and fostering strong relationships. The curriculum’s emphasis on collective responsibility and community engagement, as seen in </w:t>
      </w:r>
      <w:r w:rsidRPr="00215B5B">
        <w:rPr>
          <w:i/>
          <w:iCs/>
        </w:rPr>
        <w:t>tuakana-teina</w:t>
      </w:r>
      <w:r w:rsidRPr="00215B5B">
        <w:t> (older-younger sibling) relationships, further reflects Māori values of shared learning and mutual support.</w:t>
      </w:r>
    </w:p>
    <w:p w14:paraId="5E31C9EA" w14:textId="77777777" w:rsidR="00215B5B" w:rsidRPr="00215B5B" w:rsidRDefault="00215B5B" w:rsidP="00215B5B">
      <w:r w:rsidRPr="00215B5B">
        <w:t>Western Theories in Te Whāriki</w:t>
      </w:r>
    </w:p>
    <w:p w14:paraId="371BF2B2" w14:textId="77777777" w:rsidR="00215B5B" w:rsidRPr="00215B5B" w:rsidRDefault="00215B5B" w:rsidP="00215B5B">
      <w:r w:rsidRPr="00215B5B">
        <w:t>Western theories complement Māori perspectives by providing frameworks for understanding learning processes and environmental influences. </w:t>
      </w:r>
      <w:r w:rsidRPr="00215B5B">
        <w:rPr>
          <w:b/>
          <w:bCs/>
        </w:rPr>
        <w:t>Bronfenbrenner’s ecological systems theory</w:t>
      </w:r>
      <w:r w:rsidRPr="00215B5B">
        <w:t> highlights the impact of multiple environments (microsystem, mesosystem, exosystem, macrosystem) on development. This aligns with Te Whāriki’s principle of </w:t>
      </w:r>
      <w:r w:rsidRPr="00215B5B">
        <w:rPr>
          <w:i/>
          <w:iCs/>
        </w:rPr>
        <w:t>Ngā Hononga</w:t>
      </w:r>
      <w:r w:rsidRPr="00215B5B">
        <w:t> (Relationships), which recognizes the child’s learning within the context of family, community, and society. For instance, the curriculum encourages partnerships with parents and communities, reflecting the mesosystem’s focus on interconnected settings.</w:t>
      </w:r>
    </w:p>
    <w:p w14:paraId="463A72FA" w14:textId="77777777" w:rsidR="00215B5B" w:rsidRPr="00215B5B" w:rsidRDefault="00215B5B" w:rsidP="00215B5B">
      <w:r w:rsidRPr="00215B5B">
        <w:rPr>
          <w:b/>
          <w:bCs/>
        </w:rPr>
        <w:t>Vygotsky’s sociocultural theory</w:t>
      </w:r>
      <w:r w:rsidRPr="00215B5B">
        <w:t>, particularly the Zone of Proximal Development (ZPD) and scaffolding, is evident in Te Whāriki’s approach to learning. The curriculum emphasizes guided participation and social interaction, as seen in the strand </w:t>
      </w:r>
      <w:r w:rsidRPr="00215B5B">
        <w:rPr>
          <w:i/>
          <w:iCs/>
        </w:rPr>
        <w:t>Mana Aotūroa</w:t>
      </w:r>
      <w:r w:rsidRPr="00215B5B">
        <w:t> (Exploration), where children learn through play and collaboration with peers and adults. The concept of scaffolding is mirrored in the curriculum’s support for teachers to extend children’s learning through responsive and reciprocal interactions.</w:t>
      </w:r>
    </w:p>
    <w:p w14:paraId="4B59B244" w14:textId="77777777" w:rsidR="00215B5B" w:rsidRPr="00215B5B" w:rsidRDefault="00215B5B" w:rsidP="00215B5B">
      <w:r w:rsidRPr="00215B5B">
        <w:t>Integration and Bicultural Balance</w:t>
      </w:r>
    </w:p>
    <w:p w14:paraId="4B18C58D" w14:textId="77777777" w:rsidR="00215B5B" w:rsidRPr="00215B5B" w:rsidRDefault="00215B5B" w:rsidP="00215B5B">
      <w:r w:rsidRPr="00215B5B">
        <w:t>Te Whāriki successfully integrates these theories by valuing both Māori and Western perspectives. For example, the principle of </w:t>
      </w:r>
      <w:r w:rsidRPr="00215B5B">
        <w:rPr>
          <w:i/>
          <w:iCs/>
        </w:rPr>
        <w:t>Whānau Tangata</w:t>
      </w:r>
      <w:r w:rsidRPr="00215B5B">
        <w:t xml:space="preserve"> (Family and Community) reflects Bronfenbrenner’s </w:t>
      </w:r>
      <w:r w:rsidRPr="00215B5B">
        <w:lastRenderedPageBreak/>
        <w:t>emphasis on environmental influences while grounding it in Māori values of whanaungatanga. Similarly, the curriculum’s play-based approach draws from Vygotsky’s ideas of social learning while incorporating Māori storytelling (pūrākau) and group activities.</w:t>
      </w:r>
    </w:p>
    <w:p w14:paraId="105F8CD0" w14:textId="77777777" w:rsidR="00215B5B" w:rsidRPr="00215B5B" w:rsidRDefault="00215B5B" w:rsidP="00215B5B">
      <w:r w:rsidRPr="00215B5B">
        <w:t>However, the challenge lies in ensuring equitable representation and avoiding tokenism. While Te Whāriki strives for biculturalism, the dominance of Western pedagogical practices in some early childhood settings can marginalize Māori theories. Strengthening the implementation of Māori models, such as Te Wheke in assessment practices, could enhance cultural responsiveness.</w:t>
      </w:r>
    </w:p>
    <w:p w14:paraId="3CA9D231" w14:textId="77777777" w:rsidR="00215B5B" w:rsidRPr="00215B5B" w:rsidRDefault="00215B5B" w:rsidP="00215B5B">
      <w:r w:rsidRPr="00215B5B">
        <w:t>Conclusion</w:t>
      </w:r>
    </w:p>
    <w:p w14:paraId="59F17857" w14:textId="77777777" w:rsidR="00215B5B" w:rsidRPr="00215B5B" w:rsidRDefault="00215B5B" w:rsidP="00215B5B">
      <w:r w:rsidRPr="00215B5B">
        <w:t>Te Whāriki is a testament to the harmonious integration of Māori and Western theories, offering a holistic, culturally grounded framework for early childhood education. By honoring Te Whare Tapa Whā and Te Wheke alongside Bronfenbrenner and Vygotsky, the curriculum fosters well-rounded development. Future efforts should focus on deepening the application of Māori theories to ensure they are not just included but actively shape teaching practices. This balance is essential for nurturing culturally confident learners in Aotearoa New Zealand.</w:t>
      </w:r>
    </w:p>
    <w:p w14:paraId="14F78358" w14:textId="77777777" w:rsidR="001B3FA4" w:rsidRDefault="001B3FA4"/>
    <w:sectPr w:rsidR="001B3FA4">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EB5E3" w14:textId="77777777" w:rsidR="00510203" w:rsidRDefault="00510203" w:rsidP="00215B5B">
      <w:pPr>
        <w:spacing w:after="0" w:line="240" w:lineRule="auto"/>
      </w:pPr>
      <w:r>
        <w:separator/>
      </w:r>
    </w:p>
  </w:endnote>
  <w:endnote w:type="continuationSeparator" w:id="0">
    <w:p w14:paraId="281EFB62" w14:textId="77777777" w:rsidR="00510203" w:rsidRDefault="00510203" w:rsidP="0021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E1580" w14:textId="77777777" w:rsidR="00510203" w:rsidRDefault="00510203" w:rsidP="00215B5B">
      <w:pPr>
        <w:spacing w:after="0" w:line="240" w:lineRule="auto"/>
      </w:pPr>
      <w:r>
        <w:separator/>
      </w:r>
    </w:p>
  </w:footnote>
  <w:footnote w:type="continuationSeparator" w:id="0">
    <w:p w14:paraId="6A6A341A" w14:textId="77777777" w:rsidR="00510203" w:rsidRDefault="00510203" w:rsidP="0021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0A71C" w14:textId="77777777" w:rsidR="00215B5B" w:rsidRDefault="00215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827E" w14:textId="77777777" w:rsidR="00215B5B" w:rsidRDefault="00215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AD2B" w14:textId="77777777" w:rsidR="00215B5B" w:rsidRDefault="00215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C04"/>
    <w:rsid w:val="00171F91"/>
    <w:rsid w:val="001B3FA4"/>
    <w:rsid w:val="00215B5B"/>
    <w:rsid w:val="00510203"/>
    <w:rsid w:val="00753C04"/>
    <w:rsid w:val="008B4C14"/>
    <w:rsid w:val="00CE13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BEC4F-9F18-4588-8359-071D2A0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5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C04"/>
    <w:rPr>
      <w:rFonts w:eastAsiaTheme="majorEastAsia" w:cstheme="majorBidi"/>
      <w:color w:val="272727" w:themeColor="text1" w:themeTint="D8"/>
    </w:rPr>
  </w:style>
  <w:style w:type="paragraph" w:styleId="Title">
    <w:name w:val="Title"/>
    <w:basedOn w:val="Normal"/>
    <w:next w:val="Normal"/>
    <w:link w:val="TitleChar"/>
    <w:uiPriority w:val="10"/>
    <w:qFormat/>
    <w:rsid w:val="00753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C04"/>
    <w:pPr>
      <w:spacing w:before="160"/>
      <w:jc w:val="center"/>
    </w:pPr>
    <w:rPr>
      <w:i/>
      <w:iCs/>
      <w:color w:val="404040" w:themeColor="text1" w:themeTint="BF"/>
    </w:rPr>
  </w:style>
  <w:style w:type="character" w:customStyle="1" w:styleId="QuoteChar">
    <w:name w:val="Quote Char"/>
    <w:basedOn w:val="DefaultParagraphFont"/>
    <w:link w:val="Quote"/>
    <w:uiPriority w:val="29"/>
    <w:rsid w:val="00753C04"/>
    <w:rPr>
      <w:rFonts w:cs="Latha"/>
      <w:i/>
      <w:iCs/>
      <w:color w:val="404040" w:themeColor="text1" w:themeTint="BF"/>
    </w:rPr>
  </w:style>
  <w:style w:type="paragraph" w:styleId="ListParagraph">
    <w:name w:val="List Paragraph"/>
    <w:basedOn w:val="Normal"/>
    <w:uiPriority w:val="34"/>
    <w:qFormat/>
    <w:rsid w:val="00753C04"/>
    <w:pPr>
      <w:ind w:left="720"/>
      <w:contextualSpacing/>
    </w:pPr>
  </w:style>
  <w:style w:type="character" w:styleId="IntenseEmphasis">
    <w:name w:val="Intense Emphasis"/>
    <w:basedOn w:val="DefaultParagraphFont"/>
    <w:uiPriority w:val="21"/>
    <w:qFormat/>
    <w:rsid w:val="00753C04"/>
    <w:rPr>
      <w:i/>
      <w:iCs/>
      <w:color w:val="0F4761" w:themeColor="accent1" w:themeShade="BF"/>
    </w:rPr>
  </w:style>
  <w:style w:type="paragraph" w:styleId="IntenseQuote">
    <w:name w:val="Intense Quote"/>
    <w:basedOn w:val="Normal"/>
    <w:next w:val="Normal"/>
    <w:link w:val="IntenseQuoteChar"/>
    <w:uiPriority w:val="30"/>
    <w:qFormat/>
    <w:rsid w:val="0075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C04"/>
    <w:rPr>
      <w:rFonts w:cs="Latha"/>
      <w:i/>
      <w:iCs/>
      <w:color w:val="0F4761" w:themeColor="accent1" w:themeShade="BF"/>
    </w:rPr>
  </w:style>
  <w:style w:type="character" w:styleId="IntenseReference">
    <w:name w:val="Intense Reference"/>
    <w:basedOn w:val="DefaultParagraphFont"/>
    <w:uiPriority w:val="32"/>
    <w:qFormat/>
    <w:rsid w:val="00753C04"/>
    <w:rPr>
      <w:b/>
      <w:bCs/>
      <w:smallCaps/>
      <w:color w:val="0F4761" w:themeColor="accent1" w:themeShade="BF"/>
      <w:spacing w:val="5"/>
    </w:rPr>
  </w:style>
  <w:style w:type="paragraph" w:styleId="Header">
    <w:name w:val="header"/>
    <w:basedOn w:val="Normal"/>
    <w:link w:val="HeaderChar"/>
    <w:uiPriority w:val="99"/>
    <w:unhideWhenUsed/>
    <w:rsid w:val="00215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B5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36367">
      <w:bodyDiv w:val="1"/>
      <w:marLeft w:val="0"/>
      <w:marRight w:val="0"/>
      <w:marTop w:val="0"/>
      <w:marBottom w:val="0"/>
      <w:divBdr>
        <w:top w:val="none" w:sz="0" w:space="0" w:color="auto"/>
        <w:left w:val="none" w:sz="0" w:space="0" w:color="auto"/>
        <w:bottom w:val="none" w:sz="0" w:space="0" w:color="auto"/>
        <w:right w:val="none" w:sz="0" w:space="0" w:color="auto"/>
      </w:divBdr>
    </w:div>
    <w:div w:id="200588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ON</dc:creator>
  <cp:keywords/>
  <dc:description/>
  <cp:lastModifiedBy>Priyanga ON</cp:lastModifiedBy>
  <cp:revision>2</cp:revision>
  <dcterms:created xsi:type="dcterms:W3CDTF">2025-05-05T09:57:00Z</dcterms:created>
  <dcterms:modified xsi:type="dcterms:W3CDTF">2025-05-05T09:57:00Z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c4ab6a-b8f9-4a41-a9e3-9d9b3c522aed_Enabled">
    <vt:lpwstr>true</vt:lpwstr>
  </property>
  <property fmtid="{D5CDD505-2E9C-101B-9397-08002B2CF9AE}" pid="3" name="MSIP_Label_83c4ab6a-b8f9-4a41-a9e3-9d9b3c522aed_SetDate">
    <vt:lpwstr>2025-05-05T09:57:44Z</vt:lpwstr>
  </property>
  <property fmtid="{D5CDD505-2E9C-101B-9397-08002B2CF9AE}" pid="4" name="MSIP_Label_83c4ab6a-b8f9-4a41-a9e3-9d9b3c522aed_Method">
    <vt:lpwstr>Standard</vt:lpwstr>
  </property>
  <property fmtid="{D5CDD505-2E9C-101B-9397-08002B2CF9AE}" pid="5" name="MSIP_Label_83c4ab6a-b8f9-4a41-a9e3-9d9b3c522aed_Name">
    <vt:lpwstr>83c4ab6a-b8f9-4a41-a9e3-9d9b3c522aed</vt:lpwstr>
  </property>
  <property fmtid="{D5CDD505-2E9C-101B-9397-08002B2CF9AE}" pid="6" name="MSIP_Label_83c4ab6a-b8f9-4a41-a9e3-9d9b3c522aed_SiteId">
    <vt:lpwstr>deb56736-e31c-4f83-a094-a8aee555a992</vt:lpwstr>
  </property>
  <property fmtid="{D5CDD505-2E9C-101B-9397-08002B2CF9AE}" pid="7" name="MSIP_Label_83c4ab6a-b8f9-4a41-a9e3-9d9b3c522aed_ActionId">
    <vt:lpwstr>9ed4e9da-33dc-4e4b-b5d7-c9dd7307b565</vt:lpwstr>
  </property>
  <property fmtid="{D5CDD505-2E9C-101B-9397-08002B2CF9AE}" pid="8" name="MSIP_Label_83c4ab6a-b8f9-4a41-a9e3-9d9b3c522aed_ContentBits">
    <vt:lpwstr>1</vt:lpwstr>
  </property>
  <property fmtid="{D5CDD505-2E9C-101B-9397-08002B2CF9AE}" pid="9" name="MSIP_Label_83c4ab6a-b8f9-4a41-a9e3-9d9b3c522aed_Tag">
    <vt:lpwstr>10, 3, 0, 1</vt:lpwstr>
  </property>
</Properties>
</file>