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Admissions</w:t>
      </w:r>
      <w:r>
        <w:t xml:space="preserve"> </w:t>
      </w:r>
      <w:r>
        <w:t xml:space="preserve">Office</w:t>
      </w:r>
      <w:r>
        <w:t xml:space="preserve"> </w:t>
      </w:r>
      <w:r>
        <w:t xml:space="preserve">Page</w:t>
      </w:r>
      <w:r>
        <w:t xml:space="preserve"> </w:t>
      </w:r>
      <w:r>
        <w:t xml:space="preserve">–</w:t>
      </w:r>
      <w:r>
        <w:t xml:space="preserve"> </w:t>
      </w:r>
      <w:r>
        <w:t xml:space="preserve">Revisit</w:t>
      </w:r>
      <w:r>
        <w:t xml:space="preserve"> </w:t>
      </w:r>
      <w:r>
        <w:t xml:space="preserve">Review</w:t>
      </w:r>
      <w:r>
        <w:t xml:space="preserve"> </w:t>
      </w:r>
      <w:r>
        <w:t xml:space="preserve">(Status</w:t>
      </w:r>
      <w:r>
        <w:t xml:space="preserve"> </w:t>
      </w:r>
      <w:r>
        <w:t xml:space="preserve">and</w:t>
      </w:r>
      <w:r>
        <w:t xml:space="preserve"> </w:t>
      </w:r>
      <w:r>
        <w:t xml:space="preserve">Decisions</w:t>
      </w:r>
      <w:r>
        <w:t xml:space="preserve"> </w:t>
      </w:r>
      <w:r>
        <w:t xml:space="preserve">Required)</w:t>
      </w:r>
    </w:p>
    <w:p>
      <w:pPr>
        <w:pStyle w:val="Subtitle"/>
      </w:pPr>
      <w:r>
        <w:t xml:space="preserve">https://pmu.edu.sa/admission/admission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37</w:t>
      </w:r>
      <w:r>
        <w:t xml:space="preserve"> </w:t>
      </w:r>
      <w:r>
        <w:t xml:space="preserve">directly</w:t>
      </w:r>
      <w:r>
        <w:t xml:space="preserve"> </w:t>
      </w:r>
      <w:r>
        <w:t xml:space="preserve">linked</w:t>
      </w:r>
      <w:r>
        <w:t xml:space="preserve"> </w:t>
      </w:r>
      <w:r>
        <w:t xml:space="preserve">pages</w:t>
      </w:r>
      <w:r>
        <w:t xml:space="preserve"> </w:t>
      </w:r>
      <w:r>
        <w:t xml:space="preserve">+</w:t>
      </w:r>
      <w:r>
        <w:t xml:space="preserve"> </w:t>
      </w:r>
      <w:r>
        <w:t xml:space="preserve">application</w:t>
      </w:r>
      <w:r>
        <w:t xml:space="preserve"> </w:t>
      </w:r>
      <w:r>
        <w:t xml:space="preserve">portal</w:t>
      </w:r>
    </w:p>
    <w:p>
      <w:pPr>
        <w:pStyle w:val="Date"/>
      </w:pPr>
      <w:r>
        <w:t xml:space="preserve">10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purpose-and-method"/>
    <w:p>
      <w:pPr>
        <w:pStyle w:val="Heading1"/>
      </w:pPr>
      <w:r>
        <w:t xml:space="preserve">1. Purpose and method</w:t>
      </w:r>
    </w:p>
    <w:p>
      <w:pPr>
        <w:pStyle w:val="FirstParagraph"/>
      </w:pPr>
      <w:r>
        <w:t xml:space="preserve">Follow-up to the thread</w:t>
      </w:r>
      <w:r>
        <w:t xml:space="preserve"> </w:t>
      </w:r>
      <w:r>
        <w:t xml:space="preserve">“</w:t>
      </w:r>
      <w:r>
        <w:t xml:space="preserve">comments on Admission pages</w:t>
      </w:r>
      <w:r>
        <w:t xml:space="preserve">”</w:t>
      </w:r>
      <w:r>
        <w:t xml:space="preserve"> </w:t>
      </w:r>
      <w:r>
        <w:t xml:space="preserve">(Oct 2025 – Sep 2026). Each requested amendment was</w:t>
      </w:r>
      <w:r>
        <w:t xml:space="preserve"> </w:t>
      </w:r>
      <w:r>
        <w:rPr>
          <w:bCs/>
          <w:b/>
        </w:rPr>
        <w:t xml:space="preserve">re-checked against the live pages</w:t>
      </w:r>
      <w:r>
        <w:t xml:space="preserve"> </w:t>
      </w:r>
      <w:r>
        <w:t xml:space="preserve">(read-only, mobile browser view, 39 pages read line by line). A request or draft is not treated as proof of implementation or approval. Desktop view was not tested (automated access blocked).</w:t>
      </w:r>
    </w:p>
    <w:bookmarkEnd w:id="20"/>
    <w:bookmarkStart w:id="21" w:name="overall-status-not-ready-for-closure"/>
    <w:p>
      <w:pPr>
        <w:pStyle w:val="Heading1"/>
      </w:pPr>
      <w:r>
        <w:t xml:space="preserve">2. Overall status: NOT READY FOR CLOSURE</w:t>
      </w:r>
    </w:p>
    <w:p>
      <w:pPr>
        <w:pStyle w:val="FirstParagraph"/>
      </w:pPr>
      <w:r>
        <w:t xml:space="preserve">55 documented items on public pages:</w:t>
      </w:r>
      <w:r>
        <w:t xml:space="preserve"> </w:t>
      </w:r>
      <w:r>
        <w:rPr>
          <w:bCs/>
          <w:b/>
        </w:rPr>
        <w:t xml:space="preserve">9 High, 30 Medium, 16 Low</w:t>
      </w:r>
      <w:r>
        <w:t xml:space="preserve"> </w:t>
      </w:r>
      <w:r>
        <w:t xml:space="preserve">(details in attachment 02). No change has been made by this review.</w:t>
      </w:r>
    </w:p>
    <w:bookmarkEnd w:id="21"/>
    <w:bookmarkStart w:id="22" w:name="requested-amendments-live-status"/>
    <w:p>
      <w:pPr>
        <w:pStyle w:val="Heading1"/>
      </w:pPr>
      <w:r>
        <w:t xml:space="preserve">3. Requested amendments – live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Aptis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 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 575 (fees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/ amount to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VAT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page:</w:t>
            </w:r>
            <w:r>
              <w:t xml:space="preserve"> </w:t>
            </w:r>
            <w:r>
              <w:t xml:space="preserve">“</w:t>
            </w:r>
            <w:r>
              <w:t xml:space="preserve">SAR 500 (excl. VAT)</w:t>
            </w:r>
            <w:r>
              <w:t xml:space="preserve">”</w:t>
            </w:r>
            <w:r>
              <w:t xml:space="preserve">; local pages 950 incl. 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– Finance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CS/Engineering minimum weighted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Page-derived 73%; total not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 old CS/Eng page and old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CS/Eng page still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and Female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SAAT</w:t>
            </w:r>
            <w:r>
              <w:t xml:space="preserve">”</w:t>
            </w:r>
            <w:r>
              <w:t xml:space="preserve"> </w:t>
            </w:r>
            <w:r>
              <w:t xml:space="preserve">(item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 (Tahseely vs SAT 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wording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 restructure / new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lists are script-generated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tested</w:t>
            </w:r>
          </w:p>
        </w:tc>
      </w:tr>
    </w:tbl>
    <w:bookmarkEnd w:id="22"/>
    <w:bookmarkStart w:id="23" w:name="highest-priority-issues-high-severity"/>
    <w:p>
      <w:pPr>
        <w:pStyle w:val="Heading1"/>
      </w:pPr>
      <w:r>
        <w:t xml:space="preserve">4. Highest-priority issues (High severity)</w:t>
      </w:r>
    </w:p>
    <w:p>
      <w:pPr>
        <w:numPr>
          <w:ilvl w:val="0"/>
          <w:numId w:val="1001"/>
        </w:numPr>
        <w:pStyle w:val="Compact"/>
      </w:pPr>
      <w:r>
        <w:t xml:space="preserve">International CS/Engineering criteria still rely on SAT Subject Tests (ended by College Board, Jan 2021).</w:t>
      </w:r>
    </w:p>
    <w:p>
      <w:pPr>
        <w:numPr>
          <w:ilvl w:val="0"/>
          <w:numId w:val="1001"/>
        </w:numPr>
        <w:pStyle w:val="Compact"/>
      </w:pPr>
      <w:r>
        <w:t xml:space="preserve">Transfer/visitor fee shown as SAR 500 excl. VAT vs SAR 950 incl. VAT elsewhere.</w:t>
      </w:r>
    </w:p>
    <w:p>
      <w:pPr>
        <w:numPr>
          <w:ilvl w:val="0"/>
          <w:numId w:val="1001"/>
        </w:numPr>
        <w:pStyle w:val="Compact"/>
      </w:pPr>
      <w:r>
        <w:t xml:space="preserve">Medicine application fee SAR 1,000 vs SAR 1,150 on the fees page.</w:t>
      </w:r>
    </w:p>
    <w:p>
      <w:pPr>
        <w:numPr>
          <w:ilvl w:val="0"/>
          <w:numId w:val="1001"/>
        </w:numPr>
        <w:pStyle w:val="Compact"/>
      </w:pPr>
      <w:r>
        <w:t xml:space="preserve">EMGMS page contains another university’s English-endorsement text (University of Arizona CESL).</w:t>
      </w:r>
    </w:p>
    <w:p>
      <w:pPr>
        <w:numPr>
          <w:ilvl w:val="0"/>
          <w:numId w:val="1001"/>
        </w:numPr>
        <w:pStyle w:val="Compact"/>
      </w:pPr>
      <w:r>
        <w:t xml:space="preserve">Legacy page</w:t>
      </w:r>
      <w:r>
        <w:t xml:space="preserve"> </w:t>
      </w:r>
      <w:r>
        <w:rPr>
          <w:rStyle w:val="VerbatimChar"/>
        </w:rPr>
        <w:t xml:space="preserve">freshman_admission</w:t>
      </w:r>
      <w:r>
        <w:t xml:space="preserve"> </w:t>
      </w:r>
      <w:r>
        <w:t xml:space="preserve">still carries obsolete weights and exemptions.</w:t>
      </w:r>
    </w:p>
    <w:p>
      <w:pPr>
        <w:numPr>
          <w:ilvl w:val="0"/>
          <w:numId w:val="1001"/>
        </w:numPr>
        <w:pStyle w:val="Compact"/>
      </w:pPr>
      <w:r>
        <w:t xml:space="preserve">Application portal shows</w:t>
      </w:r>
      <w:r>
        <w:t xml:space="preserve"> </w:t>
      </w:r>
      <w:r>
        <w:t xml:space="preserve">“</w:t>
      </w:r>
      <w:r>
        <w:t xml:space="preserve">No events are currently published</w:t>
      </w:r>
      <w:r>
        <w:t xml:space="preserve">”</w:t>
      </w:r>
      <w:r>
        <w:t xml:space="preserve"> </w:t>
      </w:r>
      <w:r>
        <w:t xml:space="preserve">– applicants cannot see the intake status.</w:t>
      </w:r>
    </w:p>
    <w:bookmarkEnd w:id="23"/>
    <w:bookmarkStart w:id="24" w:name="decisions-required-owners"/>
    <w:p>
      <w:pPr>
        <w:pStyle w:val="Heading1"/>
      </w:pPr>
      <w:r>
        <w:t xml:space="preserve">5. Decisions required (owners)</w:t>
      </w:r>
    </w:p>
    <w:p>
      <w:pPr>
        <w:pStyle w:val="FirstParagraph"/>
      </w:pPr>
      <w:r>
        <w:t xml:space="preserve">See attachment 02, sheet</w:t>
      </w:r>
      <w:r>
        <w:t xml:space="preserve"> </w:t>
      </w:r>
      <w:r>
        <w:t xml:space="preserve">“</w:t>
      </w:r>
      <w:r>
        <w:t xml:space="preserve">Decisions required</w:t>
      </w:r>
      <w:r>
        <w:t xml:space="preserve">”</w:t>
      </w:r>
      <w:r>
        <w:t xml:space="preserve"> </w:t>
      </w:r>
      <w:r>
        <w:t xml:space="preserve">(12 decisions). Values marked pending must not be published as policy before documented owner approval.</w:t>
      </w:r>
    </w:p>
    <w:bookmarkEnd w:id="24"/>
    <w:bookmarkStart w:id="25" w:name="governance-observation"/>
    <w:p>
      <w:pPr>
        <w:pStyle w:val="Heading1"/>
      </w:pPr>
      <w:r>
        <w:t xml:space="preserve">6. Governance observation</w:t>
      </w:r>
    </w:p>
    <w:p>
      <w:pPr>
        <w:pStyle w:val="FirstParagraph"/>
      </w:pPr>
      <w:r>
        <w:t xml:space="preserve">Amendment requests have recurred from June 2025 to September 2026 with no recorded approver or implementation/read-back date. Recommend: owner + approver + effective date + intake per critical value, and read-back verification before closure.</w:t>
      </w:r>
    </w:p>
    <w:bookmarkEnd w:id="25"/>
    <w:bookmarkStart w:id="26" w:name="limits"/>
    <w:p>
      <w:pPr>
        <w:pStyle w:val="Heading1"/>
      </w:pPr>
      <w:r>
        <w:t xml:space="preserve">7. Limits</w:t>
      </w:r>
    </w:p>
    <w:p>
      <w:pPr>
        <w:pStyle w:val="FirstParagraph"/>
      </w:pPr>
      <w:r>
        <w:t xml:space="preserve">Attachments-only items and the unpublished data-flow draft could not be verified. TOEFL/IELTS equivalence relies on ETS published tables (secondary source); institutional thresholds are the owners’ decision.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Admissions Office Page – Revisit Review (Status and Decisions Required)</dc:title>
  <dc:creator/>
  <cp:keywords/>
  <dcterms:created xsi:type="dcterms:W3CDTF">2026-10-10T05:28:08Z</dcterms:created>
  <dcterms:modified xsi:type="dcterms:W3CDTF">2026-10-10T05:28:08Z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October 2026</vt:lpwstr>
  </property>
  <property fmtid="{D5CDD505-2E9C-101B-9397-08002B2CF9AE}" pid="3" name="subtitle">
    <vt:lpwstr>https://pmu.edu.sa/admission/admission and its 37 directly linked pages + application portal</vt:lpwstr>
  </property>
</Properties>
</file>