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75B6"/>
          <w:sz w:val="18"/>
          <w:szCs w:val="18"/>
        </w:rPr>
        <w:t xml:space="preserve">PRINCE MOHAMMAD BIN FAHD UNIVERSITY  |  ADMISSIONS OFFICE</w:t>
      </w:r>
    </w:p>
    <w:p>
      <w:pPr>
        <w:spacing w:after="60"/>
      </w:pPr>
      <w:r>
        <w:rPr>
          <w:rFonts w:ascii="Calibri" w:cs="Calibri" w:eastAsia="Calibri" w:hAnsi="Calibri"/>
          <w:b/>
          <w:bCs/>
          <w:color w:val="1F3864"/>
          <w:sz w:val="40"/>
          <w:szCs w:val="40"/>
        </w:rPr>
        <w:t xml:space="preserve">Admissions Office Webpages – Revisit Review</w:t>
      </w:r>
    </w:p>
    <w:p>
      <w:pPr>
        <w:pBdr>
          <w:bottom w:val="single" w:color="1F3864" w:sz="12" w:space="8"/>
        </w:pBdr>
        <w:spacing w:after="200"/>
      </w:pPr>
      <w:r>
        <w:rPr>
          <w:rFonts w:ascii="Calibri" w:cs="Calibri" w:eastAsia="Calibri" w:hAnsi="Calibri"/>
          <w:color w:val="595959"/>
          <w:sz w:val="22"/>
          <w:szCs w:val="22"/>
        </w:rPr>
        <w:t xml:space="preserve">Published content of pmu.edu.sa/admission/admission and its directly linked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49"/>
        <w:gridCol w:w="7289"/>
      </w:tblGrid>
      <w:tr>
        <w:trPr>
          <w:tblHeader/>
        </w:trPr>
        <w:tc>
          <w:tcPr>
            <w:tcW w:type="dxa" w:w="2349"/>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Item</w:t>
            </w:r>
          </w:p>
        </w:tc>
        <w:tc>
          <w:tcPr>
            <w:tcW w:type="dxa" w:w="7289"/>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Details</w:t>
            </w:r>
          </w:p>
        </w:tc>
      </w:tr>
      <w:tr>
        <w:trPr>
          <w:cantSplit/>
        </w:trPr>
        <w:tc>
          <w:tcPr>
            <w:tcW w:type="dxa" w:w="2349"/>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Reference</w:t>
            </w:r>
          </w:p>
        </w:tc>
        <w:tc>
          <w:tcPr>
            <w:tcW w:type="dxa" w:w="7289"/>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Thread: "comments on Admission pages" (Oct 2025 – Sep 2026)</w:t>
            </w:r>
          </w:p>
        </w:tc>
      </w:tr>
      <w:tr>
        <w:trPr>
          <w:cantSplit/>
        </w:trPr>
        <w:tc>
          <w:tcPr>
            <w:tcW w:type="dxa" w:w="2349"/>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Prepared for</w:t>
            </w:r>
          </w:p>
        </w:tc>
        <w:tc>
          <w:tcPr>
            <w:tcW w:type="dxa" w:w="7289"/>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Mr. Radhi H. Alkhaldi</w:t>
            </w:r>
          </w:p>
        </w:tc>
      </w:tr>
      <w:tr>
        <w:trPr>
          <w:cantSplit/>
        </w:trPr>
        <w:tc>
          <w:tcPr>
            <w:tcW w:type="dxa" w:w="2349"/>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Prepared by</w:t>
            </w:r>
          </w:p>
        </w:tc>
        <w:tc>
          <w:tcPr>
            <w:tcW w:type="dxa" w:w="7289"/>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Nader Alfarhan, Student Affairs</w:t>
            </w:r>
          </w:p>
        </w:tc>
      </w:tr>
      <w:tr>
        <w:trPr>
          <w:cantSplit/>
        </w:trPr>
        <w:tc>
          <w:tcPr>
            <w:tcW w:type="dxa" w:w="2349"/>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Content status as of</w:t>
            </w:r>
          </w:p>
        </w:tc>
        <w:tc>
          <w:tcPr>
            <w:tcW w:type="dxa" w:w="7289"/>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10 October 2026</w:t>
            </w:r>
          </w:p>
        </w:tc>
      </w:tr>
      <w:tr>
        <w:trPr>
          <w:cantSplit/>
        </w:trPr>
        <w:tc>
          <w:tcPr>
            <w:tcW w:type="dxa" w:w="2349"/>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Review type</w:t>
            </w:r>
          </w:p>
        </w:tc>
        <w:tc>
          <w:tcPr>
            <w:tcW w:type="dxa" w:w="7289"/>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Read-only review of published content; no page was changed</w:t>
            </w:r>
          </w:p>
        </w:tc>
      </w:tr>
    </w:tbl>
    <w:p>
      <w:pPr>
        <w:pStyle w:val="Heading1"/>
        <w:keepNext/>
        <w:pBdr>
          <w:bottom w:val="single" w:color="2E75B6" w:sz="6" w:space="4"/>
        </w:pBdr>
        <w:spacing w:after="90" w:before="200"/>
      </w:pPr>
      <w:r>
        <w:rPr>
          <w:rFonts w:ascii="Calibri" w:cs="Calibri" w:eastAsia="Calibri" w:hAnsi="Calibri"/>
          <w:b/>
          <w:bCs/>
          <w:color w:val="1F3864"/>
          <w:sz w:val="26"/>
          <w:szCs w:val="26"/>
        </w:rPr>
        <w:t xml:space="preserve">1. Purpose</w:t>
      </w:r>
    </w:p>
    <w:p>
      <w:pPr>
        <w:spacing w:after="120" w:before="0" w:line="276"/>
      </w:pPr>
      <w:r>
        <w:rPr>
          <w:rFonts w:ascii="Calibri" w:cs="Calibri" w:eastAsia="Calibri" w:hAnsi="Calibri"/>
          <w:color w:val="262626"/>
          <w:sz w:val="20"/>
          <w:szCs w:val="20"/>
        </w:rPr>
        <w:t xml:space="preserve">This review follows up on the thread "comments on Admission pages", as requested, by revisiting the Admissions Office webpages to identify comments of the same kind and any others. It covers only the content published on the website.</w:t>
      </w:r>
    </w:p>
    <w:p>
      <w:pPr>
        <w:pStyle w:val="Heading1"/>
        <w:keepNext/>
        <w:pBdr>
          <w:bottom w:val="single" w:color="2E75B6" w:sz="6" w:space="4"/>
        </w:pBdr>
        <w:spacing w:after="90" w:before="200"/>
      </w:pPr>
      <w:r>
        <w:rPr>
          <w:rFonts w:ascii="Calibri" w:cs="Calibri" w:eastAsia="Calibri" w:hAnsi="Calibri"/>
          <w:b/>
          <w:bCs/>
          <w:color w:val="1F3864"/>
          <w:sz w:val="26"/>
          <w:szCs w:val="26"/>
        </w:rPr>
        <w:t xml:space="preserve">2. Overall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3"/>
        <w:gridCol w:w="6435"/>
      </w:tblGrid>
      <w:tr>
        <w:trPr>
          <w:tblHeader/>
        </w:trPr>
        <w:tc>
          <w:tcPr>
            <w:tcW w:type="dxa" w:w="3203"/>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Indicator</w:t>
            </w:r>
          </w:p>
        </w:tc>
        <w:tc>
          <w:tcPr>
            <w:tcW w:type="dxa" w:w="6435"/>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Result</w:t>
            </w:r>
          </w:p>
        </w:tc>
      </w:tr>
      <w:tr>
        <w:trPr>
          <w:cantSplit/>
        </w:trPr>
        <w:tc>
          <w:tcPr>
            <w:tcW w:type="dxa" w:w="3203"/>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Overall status</w:t>
            </w:r>
          </w:p>
        </w:tc>
        <w:tc>
          <w:tcPr>
            <w:tcW w:type="dxa" w:w="6435"/>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C00000"/>
                <w:sz w:val="19"/>
                <w:szCs w:val="19"/>
              </w:rPr>
              <w:t xml:space="preserve">NOT READY FOR CLOSURE</w:t>
            </w:r>
          </w:p>
        </w:tc>
      </w:tr>
      <w:tr>
        <w:trPr>
          <w:cantSplit/>
        </w:trPr>
        <w:tc>
          <w:tcPr>
            <w:tcW w:type="dxa" w:w="3203"/>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Pages reviewed</w:t>
            </w:r>
          </w:p>
        </w:tc>
        <w:tc>
          <w:tcPr>
            <w:tcW w:type="dxa" w:w="6435"/>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39 (Admissions page, 37 directly linked pages, application portal) + 3 supporting fee pages</w:t>
            </w:r>
          </w:p>
        </w:tc>
      </w:tr>
      <w:tr>
        <w:trPr>
          <w:cantSplit/>
        </w:trPr>
        <w:tc>
          <w:tcPr>
            <w:tcW w:type="dxa" w:w="3203"/>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Content lines audited</w:t>
            </w:r>
          </w:p>
        </w:tc>
        <w:tc>
          <w:tcPr>
            <w:tcW w:type="dxa" w:w="6435"/>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1,248 (incl. 257 lines hidden in tabs and 136 lines in the /apply page source)</w:t>
            </w:r>
          </w:p>
        </w:tc>
      </w:tr>
      <w:tr>
        <w:trPr>
          <w:cantSplit/>
        </w:trPr>
        <w:tc>
          <w:tcPr>
            <w:tcW w:type="dxa" w:w="3203"/>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Key findings – linked pages</w:t>
            </w:r>
          </w:p>
        </w:tc>
        <w:tc>
          <w:tcPr>
            <w:tcW w:type="dxa" w:w="6435"/>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61  (Priority 1: 6 · Priority 2: 32 · Priority 3: 23)</w:t>
            </w:r>
          </w:p>
        </w:tc>
      </w:tr>
      <w:tr>
        <w:trPr>
          <w:cantSplit/>
        </w:trPr>
        <w:tc>
          <w:tcPr>
            <w:tcW w:type="dxa" w:w="3203"/>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Key findings – legacy pages</w:t>
            </w:r>
          </w:p>
        </w:tc>
        <w:tc>
          <w:tcPr>
            <w:tcW w:type="dxa" w:w="6435"/>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10  (still online, not linked from the Admissions page)</w:t>
            </w:r>
          </w:p>
        </w:tc>
      </w:tr>
      <w:tr>
        <w:trPr>
          <w:cantSplit/>
        </w:trPr>
        <w:tc>
          <w:tcPr>
            <w:tcW w:type="dxa" w:w="3203"/>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Detailed page-by-page notes</w:t>
            </w:r>
          </w:p>
        </w:tc>
        <w:tc>
          <w:tcPr>
            <w:tcW w:type="dxa" w:w="6435"/>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211 verified (169 confirmed, 42 partly confirmed)</w:t>
            </w:r>
          </w:p>
        </w:tc>
      </w:tr>
      <w:tr>
        <w:trPr>
          <w:cantSplit/>
        </w:trPr>
        <w:tc>
          <w:tcPr>
            <w:tcW w:type="dxa" w:w="3203"/>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Decisions required</w:t>
            </w:r>
          </w:p>
        </w:tc>
        <w:tc>
          <w:tcPr>
            <w:tcW w:type="dxa" w:w="6435"/>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10 (policy and fee owners)</w:t>
            </w:r>
          </w:p>
        </w:tc>
      </w:tr>
    </w:tbl>
    <w:p>
      <w:pPr>
        <w:pStyle w:val="Heading1"/>
        <w:keepNext/>
        <w:pBdr>
          <w:bottom w:val="single" w:color="2E75B6" w:sz="6" w:space="4"/>
        </w:pBdr>
        <w:spacing w:after="90" w:before="200"/>
      </w:pPr>
      <w:r>
        <w:rPr>
          <w:rFonts w:ascii="Calibri" w:cs="Calibri" w:eastAsia="Calibri" w:hAnsi="Calibri"/>
          <w:b/>
          <w:bCs/>
          <w:color w:val="1F3864"/>
          <w:sz w:val="26"/>
          <w:szCs w:val="26"/>
        </w:rPr>
        <w:t xml:space="preserve">3. Scope and Method</w:t>
      </w:r>
    </w:p>
    <w:p>
      <w:pPr>
        <w:pStyle w:val="ListParagraph"/>
        <w:numPr>
          <w:ilvl w:val="0"/>
          <w:numId w:val="2"/>
        </w:numPr>
        <w:spacing w:after="80" w:line="276"/>
      </w:pPr>
      <w:r>
        <w:rPr>
          <w:rFonts w:ascii="Calibri" w:cs="Calibri" w:eastAsia="Calibri" w:hAnsi="Calibri"/>
          <w:color w:val="262626"/>
          <w:sz w:val="20"/>
          <w:szCs w:val="20"/>
        </w:rPr>
        <w:t xml:space="preserve">The Admissions Office page, its 37 directly linked pages and the application portal welcome page. The Contact Us staff list was not copied because it contains personal names.</w:t>
      </w:r>
    </w:p>
    <w:p>
      <w:pPr>
        <w:pStyle w:val="ListParagraph"/>
        <w:numPr>
          <w:ilvl w:val="0"/>
          <w:numId w:val="2"/>
        </w:numPr>
        <w:spacing w:after="80" w:line="276"/>
      </w:pPr>
      <w:r>
        <w:rPr>
          <w:rFonts w:ascii="Calibri" w:cs="Calibri" w:eastAsia="Calibri" w:hAnsi="Calibri"/>
          <w:color w:val="262626"/>
          <w:sz w:val="20"/>
          <w:szCs w:val="20"/>
        </w:rPr>
        <w:t xml:space="preserve">Each page was read line by line in a mobile view (390 px), including tables and content inside tabs. The </w:t>
      </w:r>
      <w:r>
        <w:rPr>
          <w:rFonts w:ascii="Calibri" w:cs="Calibri" w:eastAsia="Calibri" w:hAnsi="Calibri"/>
          <w:b/>
          <w:bCs/>
          <w:color w:val="262626"/>
          <w:sz w:val="20"/>
          <w:szCs w:val="20"/>
        </w:rPr>
        <w:t xml:space="preserve">/apply</w:t>
      </w:r>
      <w:r>
        <w:rPr>
          <w:rFonts w:ascii="Calibri" w:cs="Calibri" w:eastAsia="Calibri" w:hAnsi="Calibri"/>
          <w:color w:val="262626"/>
          <w:sz w:val="20"/>
          <w:szCs w:val="20"/>
        </w:rPr>
        <w:t xml:space="preserve"> page was read from its source because it redirects visitors immediately.</w:t>
      </w:r>
    </w:p>
    <w:p>
      <w:pPr>
        <w:pStyle w:val="ListParagraph"/>
        <w:numPr>
          <w:ilvl w:val="0"/>
          <w:numId w:val="2"/>
        </w:numPr>
        <w:spacing w:after="80" w:line="276"/>
      </w:pPr>
      <w:r>
        <w:rPr>
          <w:rFonts w:ascii="Calibri" w:cs="Calibri" w:eastAsia="Calibri" w:hAnsi="Calibri"/>
          <w:color w:val="262626"/>
          <w:sz w:val="20"/>
          <w:szCs w:val="20"/>
        </w:rPr>
        <w:t xml:space="preserve">Every content line (1,248) was given a review status, applicant segment and spelling/wording check; site-wide navigation was marked out of scope.</w:t>
      </w:r>
    </w:p>
    <w:p>
      <w:pPr>
        <w:pStyle w:val="ListParagraph"/>
        <w:numPr>
          <w:ilvl w:val="0"/>
          <w:numId w:val="2"/>
        </w:numPr>
        <w:spacing w:after="80" w:line="276"/>
      </w:pPr>
      <w:r>
        <w:rPr>
          <w:rFonts w:ascii="Calibri" w:cs="Calibri" w:eastAsia="Calibri" w:hAnsi="Calibri"/>
          <w:color w:val="262626"/>
          <w:sz w:val="20"/>
          <w:szCs w:val="20"/>
        </w:rPr>
        <w:t xml:space="preserve">An earlier set of 214 detailed page notes was re-verified one by one against the captured pages: 169 confirmed, 42 partly confirmed, 3 not verifiable, none rejected.</w:t>
      </w:r>
    </w:p>
    <w:p>
      <w:pPr>
        <w:pStyle w:val="ListParagraph"/>
        <w:numPr>
          <w:ilvl w:val="0"/>
          <w:numId w:val="2"/>
        </w:numPr>
        <w:spacing w:after="80" w:line="276"/>
      </w:pPr>
      <w:r>
        <w:rPr>
          <w:rFonts w:ascii="Calibri" w:cs="Calibri" w:eastAsia="Calibri" w:hAnsi="Calibri"/>
          <w:color w:val="262626"/>
          <w:sz w:val="20"/>
          <w:szCs w:val="20"/>
        </w:rPr>
        <w:t xml:space="preserve">Each amendment previously requested in the thread was re-checked against the live page.</w:t>
      </w:r>
    </w:p>
    <w:p>
      <w:pPr>
        <w:pStyle w:val="ListParagraph"/>
        <w:numPr>
          <w:ilvl w:val="0"/>
          <w:numId w:val="2"/>
        </w:numPr>
        <w:spacing w:after="80" w:line="276"/>
      </w:pPr>
      <w:r>
        <w:rPr>
          <w:rFonts w:ascii="Calibri" w:cs="Calibri" w:eastAsia="Calibri" w:hAnsi="Calibri"/>
          <w:color w:val="262626"/>
          <w:sz w:val="20"/>
          <w:szCs w:val="20"/>
        </w:rPr>
        <w:t xml:space="preserve">Read-only: no page, form or payment was changed or submitted. The desktop view was not tested.</w:t>
      </w:r>
    </w:p>
    <w:p>
      <w:pPr>
        <w:pStyle w:val="Heading1"/>
        <w:keepNext/>
        <w:pageBreakBefore/>
        <w:pBdr>
          <w:bottom w:val="single" w:color="2E75B6" w:sz="6" w:space="4"/>
        </w:pBdr>
        <w:spacing w:after="90" w:before="200"/>
      </w:pPr>
      <w:r>
        <w:rPr>
          <w:rFonts w:ascii="Calibri" w:cs="Calibri" w:eastAsia="Calibri" w:hAnsi="Calibri"/>
          <w:b/>
          <w:bCs/>
          <w:color w:val="1F3864"/>
          <w:sz w:val="26"/>
          <w:szCs w:val="26"/>
        </w:rPr>
        <w:t xml:space="preserve">4. Priority 1 Items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4"/>
        <w:gridCol w:w="2456"/>
        <w:gridCol w:w="6648"/>
      </w:tblGrid>
      <w:tr>
        <w:trPr>
          <w:tblHeader/>
        </w:trPr>
        <w:tc>
          <w:tcPr>
            <w:tcW w:type="dxa" w:w="534"/>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center"/>
            </w:pPr>
            <w:r>
              <w:rPr>
                <w:rFonts w:ascii="Calibri" w:cs="Calibri" w:eastAsia="Calibri" w:hAnsi="Calibri"/>
                <w:b/>
                <w:bCs/>
                <w:color w:val="FFFFFF"/>
                <w:sz w:val="19"/>
                <w:szCs w:val="19"/>
              </w:rPr>
              <w:t xml:space="preserve">#</w:t>
            </w:r>
          </w:p>
        </w:tc>
        <w:tc>
          <w:tcPr>
            <w:tcW w:type="dxa" w:w="2456"/>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Topic</w:t>
            </w:r>
          </w:p>
        </w:tc>
        <w:tc>
          <w:tcPr>
            <w:tcW w:type="dxa" w:w="6648"/>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What the published pages show</w:t>
            </w:r>
          </w:p>
        </w:tc>
      </w:tr>
      <w:tr>
        <w:trPr>
          <w:cantSplit/>
        </w:trPr>
        <w:tc>
          <w:tcPr>
            <w:tcW w:type="dxa" w:w="534"/>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1</w:t>
            </w:r>
          </w:p>
        </w:tc>
        <w:tc>
          <w:tcPr>
            <w:tcW w:type="dxa" w:w="2456"/>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International CS/Engineering</w:t>
            </w:r>
          </w:p>
        </w:tc>
        <w:tc>
          <w:tcPr>
            <w:tcW w:type="dxa" w:w="664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Criteria still require SAT II, which has been discontinued since 2021.</w:t>
            </w:r>
          </w:p>
        </w:tc>
      </w:tr>
      <w:tr>
        <w:trPr>
          <w:cantSplit/>
        </w:trPr>
        <w:tc>
          <w:tcPr>
            <w:tcW w:type="dxa" w:w="534"/>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2</w:t>
            </w:r>
          </w:p>
        </w:tc>
        <w:tc>
          <w:tcPr>
            <w:tcW w:type="dxa" w:w="2456"/>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International transfer / visiting fee</w:t>
            </w:r>
          </w:p>
        </w:tc>
        <w:tc>
          <w:tcPr>
            <w:tcW w:type="dxa" w:w="6648"/>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SAR 500 (excl. VAT); the transfer and visiting pages show SAR 950 (incl. VAT).</w:t>
            </w:r>
          </w:p>
        </w:tc>
      </w:tr>
      <w:tr>
        <w:trPr>
          <w:cantSplit/>
        </w:trPr>
        <w:tc>
          <w:tcPr>
            <w:tcW w:type="dxa" w:w="534"/>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3</w:t>
            </w:r>
          </w:p>
        </w:tc>
        <w:tc>
          <w:tcPr>
            <w:tcW w:type="dxa" w:w="2456"/>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Medicine application fee</w:t>
            </w:r>
          </w:p>
        </w:tc>
        <w:tc>
          <w:tcPr>
            <w:tcW w:type="dxa" w:w="664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SAR 1,000 on the admission page vs SAR 1,150 on the medical fees page.</w:t>
            </w:r>
          </w:p>
        </w:tc>
      </w:tr>
      <w:tr>
        <w:trPr>
          <w:cantSplit/>
        </w:trPr>
        <w:tc>
          <w:tcPr>
            <w:tcW w:type="dxa" w:w="534"/>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4</w:t>
            </w:r>
          </w:p>
        </w:tc>
        <w:tc>
          <w:tcPr>
            <w:tcW w:type="dxa" w:w="2456"/>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Admission calendar</w:t>
            </w:r>
          </w:p>
        </w:tc>
        <w:tc>
          <w:tcPr>
            <w:tcW w:type="dxa" w:w="6648"/>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Covers Fall 2026 only and all dates have passed. The application portal shows "No events are currently published".</w:t>
            </w:r>
          </w:p>
        </w:tc>
      </w:tr>
      <w:tr>
        <w:trPr>
          <w:cantSplit/>
        </w:trPr>
        <w:tc>
          <w:tcPr>
            <w:tcW w:type="dxa" w:w="534"/>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5</w:t>
            </w:r>
          </w:p>
        </w:tc>
        <w:tc>
          <w:tcPr>
            <w:tcW w:type="dxa" w:w="2456"/>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EMGMS page</w:t>
            </w:r>
          </w:p>
        </w:tc>
        <w:tc>
          <w:tcPr>
            <w:tcW w:type="dxa" w:w="664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Contains another university's text ("UA Center for English as Second Language"). Its English requirements differ from other graduate pages, and it has no application link.</w:t>
            </w:r>
          </w:p>
        </w:tc>
      </w:tr>
      <w:tr>
        <w:trPr>
          <w:cantSplit/>
        </w:trPr>
        <w:tc>
          <w:tcPr>
            <w:tcW w:type="dxa" w:w="534"/>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6</w:t>
            </w:r>
          </w:p>
        </w:tc>
        <w:tc>
          <w:tcPr>
            <w:tcW w:type="dxa" w:w="2456"/>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Non-Saudi applicants</w:t>
            </w:r>
          </w:p>
        </w:tc>
        <w:tc>
          <w:tcPr>
            <w:tcW w:type="dxa" w:w="6648"/>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The route and deadline are not stated on the international page, and the calendar shows the route as "Closed" with no date.</w:t>
            </w:r>
          </w:p>
        </w:tc>
      </w:tr>
    </w:tbl>
    <w:p>
      <w:pPr>
        <w:pStyle w:val="Heading1"/>
        <w:keepNext/>
        <w:pBdr>
          <w:bottom w:val="single" w:color="2E75B6" w:sz="6" w:space="4"/>
        </w:pBdr>
        <w:spacing w:after="90" w:before="200"/>
      </w:pPr>
      <w:r>
        <w:rPr>
          <w:rFonts w:ascii="Calibri" w:cs="Calibri" w:eastAsia="Calibri" w:hAnsi="Calibri"/>
          <w:b/>
          <w:bCs/>
          <w:color w:val="1F3864"/>
          <w:sz w:val="26"/>
          <w:szCs w:val="26"/>
        </w:rPr>
        <w:t xml:space="preserve">5. Previously Requested Amendments – Live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78"/>
        <w:gridCol w:w="5260"/>
      </w:tblGrid>
      <w:tr>
        <w:trPr>
          <w:tblHeader/>
        </w:trPr>
        <w:tc>
          <w:tcPr>
            <w:tcW w:type="dxa" w:w="4378"/>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Request (thread)</w:t>
            </w:r>
          </w:p>
        </w:tc>
        <w:tc>
          <w:tcPr>
            <w:tcW w:type="dxa" w:w="5260"/>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Status on the live site</w:t>
            </w:r>
          </w:p>
        </w:tc>
      </w:tr>
      <w:tr>
        <w:trPr>
          <w:cantSplit/>
        </w:trPr>
        <w:tc>
          <w:tcPr>
            <w:tcW w:type="dxa" w:w="437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B.S. Chemical Engineering</w:t>
            </w:r>
          </w:p>
        </w:tc>
        <w:tc>
          <w:tcPr>
            <w:tcW w:type="dxa" w:w="5260"/>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F855A"/>
                <w:sz w:val="19"/>
                <w:szCs w:val="19"/>
              </w:rPr>
              <w:t xml:space="preserve">Implemented</w:t>
            </w:r>
          </w:p>
        </w:tc>
      </w:tr>
      <w:tr>
        <w:trPr>
          <w:cantSplit/>
        </w:trPr>
        <w:tc>
          <w:tcPr>
            <w:tcW w:type="dxa" w:w="4378"/>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Minimum weighted score 74% / 72%</w:t>
            </w:r>
          </w:p>
        </w:tc>
        <w:tc>
          <w:tcPr>
            <w:tcW w:type="dxa" w:w="5260"/>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B7791F"/>
                <w:sz w:val="19"/>
                <w:szCs w:val="19"/>
              </w:rPr>
              <w:t xml:space="preserve">Decision needed – published minima compute to 73% / 72%</w:t>
            </w:r>
          </w:p>
        </w:tc>
      </w:tr>
      <w:tr>
        <w:trPr>
          <w:cantSplit/>
        </w:trPr>
        <w:tc>
          <w:tcPr>
            <w:tcW w:type="dxa" w:w="437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International / transfer / visitor fee SAR 950</w:t>
            </w:r>
          </w:p>
        </w:tc>
        <w:tc>
          <w:tcPr>
            <w:tcW w:type="dxa" w:w="5260"/>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B7791F"/>
                <w:sz w:val="19"/>
                <w:szCs w:val="19"/>
              </w:rPr>
              <w:t xml:space="preserve">Partial – international page still SAR 500 (excl. VAT)</w:t>
            </w:r>
          </w:p>
        </w:tc>
      </w:tr>
      <w:tr>
        <w:trPr>
          <w:cantSplit/>
        </w:trPr>
        <w:tc>
          <w:tcPr>
            <w:tcW w:type="dxa" w:w="4378"/>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Remove SAT II</w:t>
            </w:r>
          </w:p>
        </w:tc>
        <w:tc>
          <w:tcPr>
            <w:tcW w:type="dxa" w:w="5260"/>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C00000"/>
                <w:sz w:val="19"/>
                <w:szCs w:val="19"/>
              </w:rPr>
              <w:t xml:space="preserve">Not implemented</w:t>
            </w:r>
          </w:p>
        </w:tc>
      </w:tr>
      <w:tr>
        <w:trPr>
          <w:cantSplit/>
        </w:trPr>
        <w:tc>
          <w:tcPr>
            <w:tcW w:type="dxa" w:w="437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Aptis re-test fee SAR 950</w:t>
            </w:r>
          </w:p>
        </w:tc>
        <w:tc>
          <w:tcPr>
            <w:tcW w:type="dxa" w:w="5260"/>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C00000"/>
                <w:sz w:val="19"/>
                <w:szCs w:val="19"/>
              </w:rPr>
              <w:t xml:space="preserve">Not implemented – fees page shows SAR 575</w:t>
            </w:r>
          </w:p>
        </w:tc>
      </w:tr>
      <w:tr>
        <w:trPr>
          <w:cantSplit/>
        </w:trPr>
        <w:tc>
          <w:tcPr>
            <w:tcW w:type="dxa" w:w="4378"/>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Retire old CS/Engineering page and old guide</w:t>
            </w:r>
          </w:p>
        </w:tc>
        <w:tc>
          <w:tcPr>
            <w:tcW w:type="dxa" w:w="5260"/>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C00000"/>
                <w:sz w:val="19"/>
                <w:szCs w:val="19"/>
              </w:rPr>
              <w:t xml:space="preserve">Not implemented / not verifiable</w:t>
            </w:r>
          </w:p>
        </w:tc>
      </w:tr>
      <w:tr>
        <w:trPr>
          <w:cantSplit/>
        </w:trPr>
        <w:tc>
          <w:tcPr>
            <w:tcW w:type="dxa" w:w="437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Graphic Design – female only</w:t>
            </w:r>
          </w:p>
        </w:tc>
        <w:tc>
          <w:tcPr>
            <w:tcW w:type="dxa" w:w="5260"/>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C00000"/>
                <w:sz w:val="19"/>
                <w:szCs w:val="19"/>
              </w:rPr>
              <w:t xml:space="preserve">Not implemented – page shows Male and Female</w:t>
            </w:r>
          </w:p>
        </w:tc>
      </w:tr>
    </w:tbl>
    <w:p>
      <w:pPr>
        <w:pStyle w:val="Heading1"/>
        <w:keepNext/>
        <w:pBdr>
          <w:bottom w:val="single" w:color="2E75B6" w:sz="6" w:space="4"/>
        </w:pBdr>
        <w:spacing w:after="90" w:before="200"/>
      </w:pPr>
      <w:r>
        <w:rPr>
          <w:rFonts w:ascii="Calibri" w:cs="Calibri" w:eastAsia="Calibri" w:hAnsi="Calibri"/>
          <w:b/>
          <w:bCs/>
          <w:color w:val="1F3864"/>
          <w:sz w:val="26"/>
          <w:szCs w:val="26"/>
        </w:rPr>
        <w:t xml:space="preserve">6. Decisions Required</w:t>
      </w:r>
    </w:p>
    <w:p>
      <w:pPr>
        <w:spacing w:after="80" w:before="0" w:line="276"/>
      </w:pPr>
      <w:r>
        <w:rPr>
          <w:rFonts w:ascii="Calibri" w:cs="Calibri" w:eastAsia="Calibri" w:hAnsi="Calibri"/>
          <w:color w:val="262626"/>
          <w:sz w:val="20"/>
          <w:szCs w:val="20"/>
        </w:rPr>
        <w:t xml:space="preserve">Ten decisions with proposed owners are listed in the attached register (sheet "C. Decisions"). Pending values should not be published as policy until the relevant owner confirms them in writing. The main ones are:</w:t>
      </w:r>
    </w:p>
    <w:p>
      <w:pPr>
        <w:pStyle w:val="ListParagraph"/>
        <w:numPr>
          <w:ilvl w:val="0"/>
          <w:numId w:val="3"/>
        </w:numPr>
        <w:spacing w:after="80" w:line="276"/>
      </w:pPr>
      <w:r>
        <w:rPr>
          <w:rFonts w:ascii="Calibri" w:cs="Calibri" w:eastAsia="Calibri" w:hAnsi="Calibri"/>
          <w:b/>
          <w:bCs/>
          <w:color w:val="262626"/>
          <w:sz w:val="20"/>
          <w:szCs w:val="20"/>
        </w:rPr>
        <w:t xml:space="preserve">Next intake and one application route per applicant type.</w:t>
      </w:r>
      <w:r>
        <w:rPr>
          <w:rFonts w:ascii="Calibri" w:cs="Calibri" w:eastAsia="Calibri" w:hAnsi="Calibri"/>
          <w:color w:val="262626"/>
          <w:sz w:val="20"/>
          <w:szCs w:val="20"/>
        </w:rPr>
        <w:t xml:space="preserve"> Admissions, Web and IT.</w:t>
      </w:r>
    </w:p>
    <w:p>
      <w:pPr>
        <w:pStyle w:val="ListParagraph"/>
        <w:numPr>
          <w:ilvl w:val="0"/>
          <w:numId w:val="3"/>
        </w:numPr>
        <w:spacing w:after="80" w:line="276"/>
      </w:pPr>
      <w:r>
        <w:rPr>
          <w:rFonts w:ascii="Calibri" w:cs="Calibri" w:eastAsia="Calibri" w:hAnsi="Calibri"/>
          <w:b/>
          <w:bCs/>
          <w:color w:val="262626"/>
          <w:sz w:val="20"/>
          <w:szCs w:val="20"/>
        </w:rPr>
        <w:t xml:space="preserve">Fee and VAT matrix</w:t>
      </w:r>
      <w:r>
        <w:rPr>
          <w:rFonts w:ascii="Calibri" w:cs="Calibri" w:eastAsia="Calibri" w:hAnsi="Calibri"/>
          <w:color w:val="262626"/>
          <w:sz w:val="20"/>
          <w:szCs w:val="20"/>
        </w:rPr>
        <w:t xml:space="preserve"> (international, Medicine, Aptis). Finance with Admissions.</w:t>
      </w:r>
    </w:p>
    <w:p>
      <w:pPr>
        <w:pStyle w:val="ListParagraph"/>
        <w:numPr>
          <w:ilvl w:val="0"/>
          <w:numId w:val="3"/>
        </w:numPr>
        <w:spacing w:after="80" w:line="276"/>
      </w:pPr>
      <w:r>
        <w:rPr>
          <w:rFonts w:ascii="Calibri" w:cs="Calibri" w:eastAsia="Calibri" w:hAnsi="Calibri"/>
          <w:b/>
          <w:bCs/>
          <w:color w:val="262626"/>
          <w:sz w:val="20"/>
          <w:szCs w:val="20"/>
        </w:rPr>
        <w:t xml:space="preserve">Minimum weighted scores and SAT alternatives</w:t>
      </w:r>
      <w:r>
        <w:rPr>
          <w:rFonts w:ascii="Calibri" w:cs="Calibri" w:eastAsia="Calibri" w:hAnsi="Calibri"/>
          <w:color w:val="262626"/>
          <w:sz w:val="20"/>
          <w:szCs w:val="20"/>
        </w:rPr>
        <w:t xml:space="preserve"> (SAT II, SAT 1200 scope). Admissions with the Colleges.</w:t>
      </w:r>
    </w:p>
    <w:p>
      <w:pPr>
        <w:pStyle w:val="ListParagraph"/>
        <w:numPr>
          <w:ilvl w:val="0"/>
          <w:numId w:val="3"/>
        </w:numPr>
        <w:spacing w:after="80" w:line="276"/>
      </w:pPr>
      <w:r>
        <w:rPr>
          <w:rFonts w:ascii="Calibri" w:cs="Calibri" w:eastAsia="Calibri" w:hAnsi="Calibri"/>
          <w:b/>
          <w:bCs/>
          <w:color w:val="262626"/>
          <w:sz w:val="20"/>
          <w:szCs w:val="20"/>
        </w:rPr>
        <w:t xml:space="preserve">Graduate English requirements and EMGMS page.</w:t>
      </w:r>
      <w:r>
        <w:rPr>
          <w:rFonts w:ascii="Calibri" w:cs="Calibri" w:eastAsia="Calibri" w:hAnsi="Calibri"/>
          <w:color w:val="262626"/>
          <w:sz w:val="20"/>
          <w:szCs w:val="20"/>
        </w:rPr>
        <w:t xml:space="preserve"> Graduate Studies.</w:t>
      </w:r>
    </w:p>
    <w:p>
      <w:pPr>
        <w:pStyle w:val="ListParagraph"/>
        <w:numPr>
          <w:ilvl w:val="0"/>
          <w:numId w:val="3"/>
        </w:numPr>
        <w:spacing w:after="80" w:line="276"/>
      </w:pPr>
      <w:r>
        <w:rPr>
          <w:rFonts w:ascii="Calibri" w:cs="Calibri" w:eastAsia="Calibri" w:hAnsi="Calibri"/>
          <w:b/>
          <w:bCs/>
          <w:color w:val="262626"/>
          <w:sz w:val="20"/>
          <w:szCs w:val="20"/>
        </w:rPr>
        <w:t xml:space="preserve">Admissions contact channel and privacy notice.</w:t>
      </w:r>
      <w:r>
        <w:rPr>
          <w:rFonts w:ascii="Calibri" w:cs="Calibri" w:eastAsia="Calibri" w:hAnsi="Calibri"/>
          <w:color w:val="262626"/>
          <w:sz w:val="20"/>
          <w:szCs w:val="20"/>
        </w:rPr>
        <w:t xml:space="preserve"> Admissions with Compliance.</w:t>
      </w:r>
    </w:p>
    <w:p>
      <w:pPr>
        <w:pStyle w:val="Heading1"/>
        <w:keepNext/>
        <w:pageBreakBefore/>
        <w:pBdr>
          <w:bottom w:val="single" w:color="2E75B6" w:sz="6" w:space="4"/>
        </w:pBdr>
        <w:spacing w:after="90" w:before="200"/>
      </w:pPr>
      <w:r>
        <w:rPr>
          <w:rFonts w:ascii="Calibri" w:cs="Calibri" w:eastAsia="Calibri" w:hAnsi="Calibri"/>
          <w:b/>
          <w:bCs/>
          <w:color w:val="1F3864"/>
          <w:sz w:val="26"/>
          <w:szCs w:val="26"/>
        </w:rPr>
        <w:t xml:space="preserve">7. Attachments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7"/>
        <w:gridCol w:w="3524"/>
        <w:gridCol w:w="5367"/>
      </w:tblGrid>
      <w:tr>
        <w:trPr>
          <w:tblHeader/>
        </w:trPr>
        <w:tc>
          <w:tcPr>
            <w:tcW w:type="dxa" w:w="747"/>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center"/>
            </w:pPr>
            <w:r>
              <w:rPr>
                <w:rFonts w:ascii="Calibri" w:cs="Calibri" w:eastAsia="Calibri" w:hAnsi="Calibri"/>
                <w:b/>
                <w:bCs/>
                <w:color w:val="FFFFFF"/>
                <w:sz w:val="19"/>
                <w:szCs w:val="19"/>
              </w:rPr>
              <w:t xml:space="preserve">No.</w:t>
            </w:r>
          </w:p>
        </w:tc>
        <w:tc>
          <w:tcPr>
            <w:tcW w:type="dxa" w:w="3524"/>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File</w:t>
            </w:r>
          </w:p>
        </w:tc>
        <w:tc>
          <w:tcPr>
            <w:tcW w:type="dxa" w:w="5367"/>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Content</w:t>
            </w:r>
          </w:p>
        </w:tc>
      </w:tr>
      <w:tr>
        <w:trPr>
          <w:cantSplit/>
        </w:trPr>
        <w:tc>
          <w:tcPr>
            <w:tcW w:type="dxa" w:w="747"/>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02</w:t>
            </w:r>
          </w:p>
        </w:tc>
        <w:tc>
          <w:tcPr>
            <w:tcW w:type="dxa" w:w="3524"/>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Admission Pages Comments Register (xlsx)</w:t>
            </w:r>
          </w:p>
        </w:tc>
        <w:tc>
          <w:tcPr>
            <w:tcW w:type="dxa" w:w="5367"/>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Summary; A. key findings (71); B. page-by-page notes (211); C. decisions required; D. live status of previous requests.</w:t>
            </w:r>
          </w:p>
        </w:tc>
      </w:tr>
      <w:tr>
        <w:trPr>
          <w:cantSplit/>
        </w:trPr>
        <w:tc>
          <w:tcPr>
            <w:tcW w:type="dxa" w:w="747"/>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03</w:t>
            </w:r>
          </w:p>
        </w:tc>
        <w:tc>
          <w:tcPr>
            <w:tcW w:type="dxa" w:w="3524"/>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Published Content Line-by-Line Ledger (xlsx)</w:t>
            </w:r>
          </w:p>
        </w:tc>
        <w:tc>
          <w:tcPr>
            <w:tcW w:type="dxa" w:w="5367"/>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Every line of each page with its review status and cross-reference to the register (reference).</w:t>
            </w:r>
          </w:p>
        </w:tc>
      </w:tr>
    </w:tbl>
    <w:p>
      <w:pPr>
        <w:pStyle w:val="Heading1"/>
        <w:keepNext/>
        <w:pBdr>
          <w:bottom w:val="single" w:color="2E75B6" w:sz="6" w:space="4"/>
        </w:pBdr>
        <w:spacing w:after="90" w:before="200"/>
      </w:pPr>
      <w:r>
        <w:rPr>
          <w:rFonts w:ascii="Calibri" w:cs="Calibri" w:eastAsia="Calibri" w:hAnsi="Calibri"/>
          <w:b/>
          <w:bCs/>
          <w:color w:val="1F3864"/>
          <w:sz w:val="26"/>
          <w:szCs w:val="26"/>
        </w:rPr>
        <w:t xml:space="preserve">8. Other Notable Points from the Line-by-Line Review</w:t>
      </w:r>
    </w:p>
    <w:p>
      <w:pPr>
        <w:pStyle w:val="ListParagraph"/>
        <w:numPr>
          <w:ilvl w:val="0"/>
          <w:numId w:val="2"/>
        </w:numPr>
        <w:spacing w:after="80" w:line="276"/>
      </w:pPr>
      <w:r>
        <w:rPr>
          <w:rFonts w:ascii="Calibri" w:cs="Calibri" w:eastAsia="Calibri" w:hAnsi="Calibri"/>
          <w:color w:val="262626"/>
          <w:sz w:val="20"/>
          <w:szCs w:val="20"/>
        </w:rPr>
        <w:t xml:space="preserve">"Contact Info" on undergraduate pages leads to the graduate-only contact page; "Contact Us" leads to the Student Affairs staff list.</w:t>
      </w:r>
    </w:p>
    <w:p>
      <w:pPr>
        <w:pStyle w:val="ListParagraph"/>
        <w:numPr>
          <w:ilvl w:val="0"/>
          <w:numId w:val="2"/>
        </w:numPr>
        <w:spacing w:after="80" w:line="276"/>
      </w:pPr>
      <w:r>
        <w:rPr>
          <w:rFonts w:ascii="Calibri" w:cs="Calibri" w:eastAsia="Calibri" w:hAnsi="Calibri"/>
          <w:color w:val="262626"/>
          <w:sz w:val="20"/>
          <w:szCs w:val="20"/>
        </w:rPr>
        <w:t xml:space="preserve">The Aptis page says direct entry requires IELTS, while the TOEFL page and /apply also accept TOEFL iBT 83/19.</w:t>
      </w:r>
    </w:p>
    <w:p>
      <w:pPr>
        <w:pStyle w:val="ListParagraph"/>
        <w:numPr>
          <w:ilvl w:val="0"/>
          <w:numId w:val="2"/>
        </w:numPr>
        <w:spacing w:after="80" w:line="276"/>
      </w:pPr>
      <w:r>
        <w:rPr>
          <w:rFonts w:ascii="Calibri" w:cs="Calibri" w:eastAsia="Calibri" w:hAnsi="Calibri"/>
          <w:color w:val="262626"/>
          <w:sz w:val="20"/>
          <w:szCs w:val="20"/>
        </w:rPr>
        <w:t xml:space="preserve">Inconsistent ID documents: "Saudi ID" only on some pages, "Saudi ID or Iqama" on others, and "National ID" for applicants without Saudi residence.</w:t>
      </w:r>
    </w:p>
    <w:p>
      <w:pPr>
        <w:pStyle w:val="ListParagraph"/>
        <w:numPr>
          <w:ilvl w:val="0"/>
          <w:numId w:val="2"/>
        </w:numPr>
        <w:spacing w:after="80" w:line="276"/>
      </w:pPr>
      <w:r>
        <w:rPr>
          <w:rFonts w:ascii="Calibri" w:cs="Calibri" w:eastAsia="Calibri" w:hAnsi="Calibri"/>
          <w:color w:val="262626"/>
          <w:sz w:val="20"/>
          <w:szCs w:val="20"/>
        </w:rPr>
        <w:t xml:space="preserve">Graduate pages: "ADMISSSIONS" misspelt on six pages; the "(Very Good)" label is used for both 2.50 and 3.00 GPA minimums; MSEE, MSCE and MSID pages give no credit hours or application link.</w:t>
      </w:r>
    </w:p>
    <w:p>
      <w:pPr>
        <w:pStyle w:val="ListParagraph"/>
        <w:numPr>
          <w:ilvl w:val="0"/>
          <w:numId w:val="2"/>
        </w:numPr>
        <w:spacing w:after="80" w:line="276"/>
      </w:pPr>
      <w:r>
        <w:rPr>
          <w:rFonts w:ascii="Calibri" w:cs="Calibri" w:eastAsia="Calibri" w:hAnsi="Calibri"/>
          <w:color w:val="262626"/>
          <w:sz w:val="20"/>
          <w:szCs w:val="20"/>
        </w:rPr>
        <w:t xml:space="preserve">The Academic Calendar link on Study @ PMU opens the 2023/2024 calendar; Orientation remains "TBA" after classes began on 30 August 2026.</w:t>
      </w:r>
    </w:p>
    <w:p>
      <w:pPr>
        <w:pStyle w:val="Heading1"/>
        <w:keepNext/>
        <w:pBdr>
          <w:bottom w:val="single" w:color="2E75B6" w:sz="6" w:space="4"/>
        </w:pBdr>
        <w:spacing w:after="90" w:before="200"/>
      </w:pPr>
      <w:r>
        <w:rPr>
          <w:rFonts w:ascii="Calibri" w:cs="Calibri" w:eastAsia="Calibri" w:hAnsi="Calibri"/>
          <w:b/>
          <w:bCs/>
          <w:color w:val="1F3864"/>
          <w:sz w:val="26"/>
          <w:szCs w:val="26"/>
        </w:rPr>
        <w:t xml:space="preserve">9. Limits</w:t>
      </w:r>
    </w:p>
    <w:p>
      <w:pPr>
        <w:pStyle w:val="ListParagraph"/>
        <w:numPr>
          <w:ilvl w:val="0"/>
          <w:numId w:val="2"/>
        </w:numPr>
        <w:spacing w:after="80" w:line="276"/>
      </w:pPr>
      <w:r>
        <w:rPr>
          <w:rFonts w:ascii="Calibri" w:cs="Calibri" w:eastAsia="Calibri" w:hAnsi="Calibri"/>
          <w:color w:val="262626"/>
          <w:sz w:val="20"/>
          <w:szCs w:val="20"/>
        </w:rPr>
        <w:t xml:space="preserve">The desktop view was not tested.</w:t>
      </w:r>
    </w:p>
    <w:p>
      <w:pPr>
        <w:pStyle w:val="ListParagraph"/>
        <w:numPr>
          <w:ilvl w:val="0"/>
          <w:numId w:val="2"/>
        </w:numPr>
        <w:spacing w:after="80" w:line="276"/>
      </w:pPr>
      <w:r>
        <w:rPr>
          <w:rFonts w:ascii="Calibri" w:cs="Calibri" w:eastAsia="Calibri" w:hAnsi="Calibri"/>
          <w:color w:val="262626"/>
          <w:sz w:val="20"/>
          <w:szCs w:val="20"/>
        </w:rPr>
        <w:t xml:space="preserve">Content that only appears after interaction (pop-ups) and the downloadable PDF files were not fully reviewed.</w:t>
      </w:r>
    </w:p>
    <w:p>
      <w:pPr>
        <w:pStyle w:val="ListParagraph"/>
        <w:numPr>
          <w:ilvl w:val="0"/>
          <w:numId w:val="2"/>
        </w:numPr>
        <w:spacing w:after="80" w:line="276"/>
      </w:pPr>
      <w:r>
        <w:rPr>
          <w:rFonts w:ascii="Calibri" w:cs="Calibri" w:eastAsia="Calibri" w:hAnsi="Calibri"/>
          <w:color w:val="262626"/>
          <w:sz w:val="20"/>
          <w:szCs w:val="20"/>
        </w:rPr>
        <w:t xml:space="preserve">TOEFL/IELTS equivalences refer to published ETS tables; setting the thresholds remains the owners' decision.</w:t>
      </w:r>
    </w:p>
    <w:sectPr>
      <w:headerReference w:type="default" r:id="rId7"/>
      <w:footerReference w:type="default" r:id="rId8"/>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Admissions Office Webpages – Revisit Review  |  Internal –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Admissions Office Webpages – Revisit Review</dc:title>
  <dc:creator>Nader Alfarhan</dc:creator>
  <cp:lastModifiedBy>Un-named</cp:lastModifiedBy>
  <cp:revision>1</cp:revision>
  <dcterms:created xsi:type="dcterms:W3CDTF">2026-10-10T19:58:11.466Z</dcterms:created>
  <dcterms:modified xsi:type="dcterms:W3CDTF">2026-10-10T19:58:11.466Z</dcterms:modified>
</cp:coreProperties>
</file>

<file path=docProps/custom.xml><?xml version="1.0" encoding="utf-8"?>
<Properties xmlns="http://schemas.openxmlformats.org/officeDocument/2006/custom-properties" xmlns:vt="http://schemas.openxmlformats.org/officeDocument/2006/docPropsVTypes"/>
</file>