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  <w:bidi/>
      </w:pPr>
      <w:r>
        <w:rPr>
          <w:rtl/>
        </w:rPr>
        <w:t xml:space="preserve">PMU</w:t>
      </w:r>
      <w:r>
        <w:rPr>
          <w:rtl/>
        </w:rPr>
        <w:t xml:space="preserve"> </w:t>
      </w:r>
      <w:r>
        <w:rPr>
          <w:rtl/>
        </w:rPr>
        <w:t xml:space="preserve">Admissions</w:t>
      </w:r>
      <w:r>
        <w:rPr>
          <w:rtl/>
        </w:rPr>
        <w:t xml:space="preserve"> </w:t>
      </w:r>
      <w:r>
        <w:rPr>
          <w:rtl/>
        </w:rPr>
        <w:t xml:space="preserve">v5.0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PACK</w:t>
      </w:r>
      <w:r>
        <w:rPr>
          <w:rtl/>
        </w:rPr>
        <w:t xml:space="preserve"> </w:t>
      </w:r>
      <w:r>
        <w:rPr>
          <w:rtl/>
        </w:rPr>
        <w:t xml:space="preserve">A:</w:t>
      </w:r>
      <w:r>
        <w:rPr>
          <w:rtl/>
        </w:rPr>
        <w:t xml:space="preserve"> </w:t>
      </w:r>
      <w:r>
        <w:rPr>
          <w:rtl/>
        </w:rPr>
        <w:t xml:space="preserve">القرارات</w:t>
      </w:r>
      <w:r>
        <w:rPr>
          <w:rtl/>
        </w:rPr>
        <w:t xml:space="preserve"> </w:t>
      </w:r>
      <w:r>
        <w:rPr>
          <w:rtl/>
        </w:rPr>
        <w:t xml:space="preserve">التنفيذية</w:t>
      </w:r>
      <w:r>
        <w:rPr>
          <w:rtl/>
        </w:rPr>
        <w:t xml:space="preserve"> </w:t>
      </w:r>
      <w:r>
        <w:rPr>
          <w:rtl/>
        </w:rPr>
        <w:t xml:space="preserve">وحزمة</w:t>
      </w:r>
      <w:r>
        <w:rPr>
          <w:rtl/>
        </w:rPr>
        <w:t xml:space="preserve"> </w:t>
      </w:r>
      <w:r>
        <w:rPr>
          <w:rtl/>
        </w:rPr>
        <w:t xml:space="preserve">التحقق</w:t>
      </w:r>
    </w:p>
    <w:p>
      <w:pPr>
        <w:pStyle w:val="Subtitle"/>
        <w:bidi/>
      </w:pPr>
      <w:r>
        <w:rPr>
          <w:rtl/>
        </w:rPr>
        <w:t xml:space="preserve">تدقيق</w:t>
      </w:r>
      <w:r>
        <w:rPr>
          <w:rtl/>
        </w:rPr>
        <w:t xml:space="preserve"> </w:t>
      </w:r>
      <w:r>
        <w:rPr>
          <w:rtl/>
        </w:rPr>
        <w:t xml:space="preserve">مستقل</w:t>
      </w:r>
      <w:r>
        <w:rPr>
          <w:rtl/>
        </w:rPr>
        <w:t xml:space="preserve"> </w:t>
      </w:r>
      <w:r>
        <w:rPr>
          <w:rtl/>
        </w:rPr>
        <w:t xml:space="preserve">لصفحة</w:t>
      </w:r>
      <w:r>
        <w:rPr>
          <w:rtl/>
        </w:rPr>
        <w:t xml:space="preserve"> </w:t>
      </w:r>
      <w:r>
        <w:rPr>
          <w:rtl/>
        </w:rPr>
        <w:t xml:space="preserve">مكتب</w:t>
      </w:r>
      <w:r>
        <w:rPr>
          <w:rtl/>
        </w:rPr>
        <w:t xml:space="preserve"> </w:t>
      </w:r>
      <w:r>
        <w:rPr>
          <w:rtl/>
        </w:rPr>
        <w:t xml:space="preserve">القبول</w:t>
      </w:r>
      <w:r>
        <w:rPr>
          <w:rtl/>
        </w:rPr>
        <w:t xml:space="preserve"> </w:t>
      </w:r>
      <w:r>
        <w:rPr>
          <w:rtl/>
        </w:rPr>
        <w:t xml:space="preserve">وروابطها</w:t>
      </w:r>
      <w:r>
        <w:rPr>
          <w:rtl/>
        </w:rPr>
        <w:t xml:space="preserve"> </w:t>
      </w:r>
      <w:r>
        <w:rPr>
          <w:rtl/>
        </w:rPr>
        <w:t xml:space="preserve">المباشرة</w:t>
      </w:r>
      <w:r>
        <w:rPr>
          <w:rtl/>
        </w:rPr>
        <w:t xml:space="preserve"> </w:t>
      </w:r>
      <w:r>
        <w:rPr>
          <w:rtl/>
        </w:rPr>
        <w:t xml:space="preserve">—</w:t>
      </w:r>
      <w:r>
        <w:rPr>
          <w:rtl/>
        </w:rPr>
        <w:t xml:space="preserve"> </w:t>
      </w:r>
      <w:r>
        <w:rPr>
          <w:rtl/>
        </w:rPr>
        <w:t xml:space="preserve">10</w:t>
      </w:r>
      <w:r>
        <w:rPr>
          <w:rtl/>
        </w:rPr>
        <w:t xml:space="preserve"> </w:t>
      </w:r>
      <w:r>
        <w:rPr>
          <w:rtl/>
        </w:rPr>
        <w:t xml:space="preserve">أكتوبر</w:t>
      </w:r>
      <w:r>
        <w:rPr>
          <w:rtl/>
        </w:rPr>
        <w:t xml:space="preserve"> </w:t>
      </w:r>
      <w:r>
        <w:rPr>
          <w:rtl/>
        </w:rPr>
        <w:t xml:space="preserve">2026</w:t>
      </w:r>
    </w:p>
    <w:bookmarkStart w:id="20" w:name="الحكم-not-ready-for-closure"/>
    <w:p>
      <w:pPr>
        <w:pStyle w:val="Heading1"/>
        <w:bidi/>
      </w:pPr>
      <w:r>
        <w:rPr>
          <w:rtl/>
        </w:rPr>
        <w:t xml:space="preserve">1. الحكم:</w:t>
      </w:r>
      <w:r>
        <w:rPr>
          <w:rtl/>
        </w:rPr>
        <w:t xml:space="preserve"> </w:t>
      </w:r>
      <w:r>
        <w:rPr>
          <w:rtl/>
          <w:bCs/>
          <w:b/>
        </w:rPr>
        <w:t xml:space="preserve">NOT READY FOR CLOSURE</w:t>
      </w:r>
    </w:p>
    <w:p>
      <w:pPr>
        <w:bidi/>
      </w:pPr>
      <w:r>
        <w:rPr>
          <w:rtl/>
        </w:rPr>
        <w:t xml:space="preserve">لا يوجد تعديل منشور ولا قرار موثق ولا اعتماد رسمي. لم أُجرِ أي تعديل على الموقع (لا صلاحية نشر)، ولم أرسل شيئًا.</w:t>
      </w:r>
    </w:p>
    <w:bookmarkEnd w:id="20"/>
    <w:bookmarkStart w:id="21" w:name="ما-الذي-فحص-في-هذه-الجولة-v5"/>
    <w:p>
      <w:pPr>
        <w:pStyle w:val="Heading1"/>
        <w:bidi/>
      </w:pPr>
      <w:r>
        <w:rPr>
          <w:rtl/>
        </w:rPr>
        <w:t xml:space="preserve">2. ما الذي فُحص في هذه الجولة (v5)</w:t>
      </w:r>
    </w:p>
    <w:p>
      <w:pPr>
        <w:bidi/>
      </w:pPr>
      <w:r>
        <w:rPr>
          <w:rtl/>
        </w:rPr>
        <w:t xml:space="preserve">وصلني ملفان جاهزان:</w:t>
      </w:r>
      <w:r>
        <w:rPr>
          <w:rtl/>
        </w:rPr>
        <w:t xml:space="preserve"> </w:t>
      </w:r>
      <w:r>
        <w:rPr>
          <w:rtl/>
          <w:bCs/>
          <w:b/>
        </w:rPr>
        <w:t xml:space="preserve">Verification Register</w:t>
      </w:r>
      <w:r>
        <w:rPr>
          <w:rtl/>
        </w:rPr>
        <w:t xml:space="preserve"> </w:t>
      </w:r>
      <w:r>
        <w:rPr>
          <w:rtl/>
        </w:rPr>
        <w:t xml:space="preserve">(تحقق أولي) و</w:t>
      </w:r>
      <w:r>
        <w:rPr>
          <w:rtl/>
          <w:bCs/>
          <w:b/>
        </w:rPr>
        <w:t xml:space="preserve">Content Audit</w:t>
      </w:r>
      <w:r>
        <w:rPr>
          <w:rtl/>
        </w:rPr>
        <w:t xml:space="preserve"> </w:t>
      </w:r>
      <w:r>
        <w:rPr>
          <w:rtl/>
        </w:rPr>
        <w:t xml:space="preserve">(233 ملاحظة، 37 صفحة). عاملتُهما كـ«ادعاءات تُتحقق» لا كحقائق (Zero-Baseline):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الفحص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النتيجة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مطابقة آلية لاقتباسات الملاحظات الـ233 مع نصوص الزحف الخاص بي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171 على الصفحة المحددة (73.4%)، 13 في صفحة أخرى، 1 جزئي، 32 لم تُطابَق آليًا (غالبًا اختلاف تنسيق الجداول/الحذف «…») ، 16 بلا اقتباس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تحقق دلالي مستقل من ملاحظات P1 (19)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19/19 مؤكدة في جوهرها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(تفصيل في ورقة 1)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تحقق من 16 بندًا في سجل التحقق الأولي (F وM)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13 مؤكدة/منفذة، 1 تعارض يحتاج قرارًا (74 مقابل 73)، 2 لم تُختبر (دليل التقديم، المسودة)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P2/P3 (214)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  <w:bCs/>
                <w:b/>
              </w:rPr>
              <w:t xml:space="preserve">لم يُتحقق منها دلاليًا بالكامل</w:t>
            </w:r>
            <w:r>
              <w:rPr>
                <w:rtl/>
              </w:rPr>
              <w:t xml:space="preserve"> </w:t>
            </w:r>
            <w:r>
              <w:rPr>
                <w:rtl/>
              </w:rPr>
              <w:t xml:space="preserve">— فقط آليًا + بضع عينات؛ تبقى «مدّعاة» حتى مراجعة صفحة بصفحة</w:t>
            </w:r>
          </w:p>
        </w:tc>
      </w:tr>
    </w:tbl>
    <w:p>
      <w:pPr>
        <w:bidi/>
      </w:pPr>
      <w:r>
        <w:rPr>
          <w:rtl/>
          <w:bCs/>
          <w:b/>
        </w:rPr>
        <w:t xml:space="preserve">اكتشاف مؤثر:</w:t>
      </w:r>
      <w:r>
        <w:rPr>
          <w:rtl/>
        </w:rPr>
        <w:t xml:space="preserve"> </w:t>
      </w:r>
      <w:r>
        <w:rPr>
          <w:rtl/>
        </w:rPr>
        <w:t xml:space="preserve">المصدر الخام لـ</w:t>
      </w:r>
      <w:r>
        <w:rPr>
          <w:rStyle w:val="VerbatimChar"/>
          <w:rtl/>
        </w:rPr>
        <w:t xml:space="preserve">/apply</w:t>
      </w:r>
      <w:r>
        <w:rPr>
          <w:rtl/>
        </w:rPr>
        <w:t xml:space="preserve"> </w:t>
      </w:r>
      <w:r>
        <w:rPr>
          <w:rtl/>
        </w:rPr>
        <w:t xml:space="preserve">يحتوي فعلًا على شروط البكالوريوس (غير هندسي: ثانوية ≥80، قدرات ≥60، أوزان 60/40؛ هندسة/AI/CS/عمارة: ≥85/≥65/≥65، أوزان 40/30/30، وبديل SAT 1200) لكنه يُحوِّل فورًا (meta refresh + location.replace) فلا يراه المتقدم. الحدان المنشوران يعطيان</w:t>
      </w:r>
      <w:r>
        <w:rPr>
          <w:rtl/>
        </w:rPr>
        <w:t xml:space="preserve"> </w:t>
      </w:r>
      <w:r>
        <w:rPr>
          <w:rtl/>
          <w:bCs/>
          <w:b/>
        </w:rPr>
        <w:t xml:space="preserve">72%</w:t>
      </w:r>
      <w:r>
        <w:rPr>
          <w:rtl/>
        </w:rPr>
        <w:t xml:space="preserve"> </w:t>
      </w:r>
      <w:r>
        <w:rPr>
          <w:rtl/>
        </w:rPr>
        <w:t xml:space="preserve">و</w:t>
      </w:r>
      <w:r>
        <w:rPr>
          <w:rtl/>
          <w:bCs/>
          <w:b/>
        </w:rPr>
        <w:t xml:space="preserve">73%</w:t>
      </w:r>
      <w:r>
        <w:rPr>
          <w:rtl/>
        </w:rPr>
        <w:t xml:space="preserve"> </w:t>
      </w:r>
      <w:r>
        <w:rPr>
          <w:rtl/>
        </w:rPr>
        <w:t xml:space="preserve">حسابيًا، أما طلب البريد (74%) فلا يمكن اشتقاقه من المنشور → قرار.</w:t>
      </w:r>
    </w:p>
    <w:bookmarkEnd w:id="21"/>
    <w:bookmarkStart w:id="22" w:name="نتائج-جديدة-مثبتة-تضاف-إلى-السجل"/>
    <w:p>
      <w:pPr>
        <w:pStyle w:val="Heading1"/>
        <w:bidi/>
      </w:pPr>
      <w:r>
        <w:rPr>
          <w:rtl/>
        </w:rPr>
        <w:t xml:space="preserve">3. نتائج جديدة مثبتة (تضاف إلى السجل)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ID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الخطورة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النتيجة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Medium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شروط وأوزان البكالوريوس في صفحة تُحوِّل فورًا؛ لا نسخة مرئية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Medium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PhDBA: جملة أهلية بنفي مزدوج وثلاثة حدود GPA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EMBA: «three to five years» توحي بحد أقصى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Medium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EMGMS: لا رابط/مسار تقديم رغم إدراجه في الصفحة الرئيسية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عنوان صفحة PhD ME هو «Application Form for MSDH»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Medium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نطاق بديل SAT 1200 مختلف بين /apply وsat-admission وcs_eng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F-77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Low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بوابة التقديم إنجليزية فقط بلا رابط خصوصية</w:t>
            </w:r>
          </w:p>
        </w:tc>
      </w:tr>
    </w:tbl>
    <w:p>
      <w:pPr>
        <w:bidi/>
      </w:pPr>
      <w:r>
        <w:rPr>
          <w:rtl/>
        </w:rPr>
        <w:t xml:space="preserve">تصحيح:</w:t>
      </w:r>
      <w:r>
        <w:rPr>
          <w:rtl/>
        </w:rPr>
        <w:t xml:space="preserve"> </w:t>
      </w:r>
      <w:r>
        <w:rPr>
          <w:rtl/>
          <w:bCs/>
          <w:b/>
        </w:rPr>
        <w:t xml:space="preserve">F-59</w:t>
      </w:r>
      <w:r>
        <w:rPr>
          <w:rtl/>
        </w:rPr>
        <w:t xml:space="preserve"> </w:t>
      </w:r>
      <w:r>
        <w:rPr>
          <w:rtl/>
        </w:rPr>
        <w:t xml:space="preserve">(غموض «SAAT»): الموقع نفسه يستخدم «SAAT – Tahseely» (cs_eng سطر 89)، فالمقصود محليًا التحصيلي؛ يبقى طلب «إزالة SAT II» بندًا مستقلًا (F-01).</w:t>
      </w:r>
    </w:p>
    <w:p>
      <w:pPr>
        <w:bidi/>
      </w:pPr>
      <w:r>
        <w:rPr>
          <w:rtl/>
        </w:rPr>
        <w:t xml:space="preserve">أعداد السجل الحالي:</w:t>
      </w:r>
      <w:r>
        <w:rPr>
          <w:rtl/>
        </w:rPr>
        <w:t xml:space="preserve"> </w:t>
      </w:r>
      <w:r>
        <w:rPr>
          <w:rtl/>
          <w:bCs/>
          <w:b/>
        </w:rPr>
        <w:t xml:space="preserve">داخل النطاق 52</w:t>
      </w:r>
      <w:r>
        <w:rPr>
          <w:rtl/>
        </w:rPr>
        <w:t xml:space="preserve"> </w:t>
      </w:r>
      <w:r>
        <w:rPr>
          <w:rtl/>
        </w:rPr>
        <w:t xml:space="preserve">(7 High، 29 Medium، 16 Low) +</w:t>
      </w:r>
      <w:r>
        <w:rPr>
          <w:rtl/>
        </w:rPr>
        <w:t xml:space="preserve"> </w:t>
      </w:r>
      <w:r>
        <w:rPr>
          <w:rtl/>
          <w:bCs/>
          <w:b/>
        </w:rPr>
        <w:t xml:space="preserve">مستمدة من البريد 14</w:t>
      </w:r>
      <w:r>
        <w:rPr>
          <w:rtl/>
        </w:rPr>
        <w:t xml:space="preserve"> </w:t>
      </w:r>
      <w:r>
        <w:rPr>
          <w:rtl/>
        </w:rPr>
        <w:t xml:space="preserve">+</w:t>
      </w:r>
      <w:r>
        <w:rPr>
          <w:rtl/>
        </w:rPr>
        <w:t xml:space="preserve"> </w:t>
      </w:r>
      <w:r>
        <w:rPr>
          <w:rtl/>
          <w:bCs/>
          <w:b/>
        </w:rPr>
        <w:t xml:space="preserve">مجاورة 10</w:t>
      </w:r>
      <w:r>
        <w:rPr>
          <w:rtl/>
        </w:rPr>
        <w:t xml:space="preserve">.</w:t>
      </w:r>
    </w:p>
    <w:bookmarkEnd w:id="22"/>
    <w:bookmarkStart w:id="23" w:name="أهم-5-قرارات-تتطلب-الإدارة-العليا"/>
    <w:p>
      <w:pPr>
        <w:pStyle w:val="Heading1"/>
        <w:bidi/>
      </w:pPr>
      <w:r>
        <w:rPr>
          <w:rtl/>
        </w:rPr>
        <w:t xml:space="preserve">4. أهم 5 قرارات تتطلب الإدارة العليا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#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القرار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الجهة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يحسم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1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الدورة القادمة وقناة تقديم واحدة لكل فئة، ونشر شروط البكالوريوس بصفحة مرئية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القبول + الويب + IT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F-48، F-71، F-09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2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مصفوفة الرسوم والضريبة: دولي تحويل/زائر (500 غير شامل مقابل 950 شامل)، الطب (1000 مقابل 1150)، Aptis (575 مقابل 950)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المالية + القبول + PREP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F-02، F-03، F-62، F-58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3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الحدود الموزونة (74 مقابل 73/72)، قائمة التخصصات ذات المعيار الأعلى (هل تشمل AI)، نطاق SAT 1200، وإزالة SAT II للدوليين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سياسة القبول + الكليات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F-01، F-60، F-76، F-35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4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الإنجليزي للدراسات العليا: MIBL (6.0/6.5)، EMGMS (استبدال نص UA + مسار تقديم)، جدول تكافؤ TOEFL/IELTS ومقياس 1–6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الدراسات العليا + الاختبارات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F-29، F-68، F-16، F-69، F-74، F-08، F-41</w:t>
            </w:r>
          </w:p>
        </w:tc>
      </w:tr>
      <w:tr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5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مصدر حقيقة واحد + مالك ومُعتمِد وتاريخ نفاذ لكل قيمة حرجة + قراءة راجعة قبل الإغلاق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الراعي التنفيذي</w:t>
            </w:r>
          </w:p>
        </w:tc>
        <w:tc>
          <w:tcPr/>
          <w:p>
            <w:pPr>
              <w:pStyle w:val="Compact"/>
              <w:bidi/>
              <w:jc w:val="left"/>
            </w:pPr>
            <w:r>
              <w:rPr>
                <w:rtl/>
              </w:rPr>
              <w:t xml:space="preserve">F-63</w:t>
            </w:r>
          </w:p>
        </w:tc>
      </w:tr>
    </w:tbl>
    <w:bookmarkEnd w:id="23"/>
    <w:bookmarkStart w:id="24" w:name="الأسباب-الجذرية-مثبتة-مقابل-مرجحة"/>
    <w:p>
      <w:pPr>
        <w:pStyle w:val="Heading1"/>
        <w:bidi/>
      </w:pPr>
      <w:r>
        <w:rPr>
          <w:rtl/>
        </w:rPr>
        <w:t xml:space="preserve">5. الأسباب الجذرية (مثبتة مقابل مرجّحة)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مثبت:</w:t>
      </w:r>
      <w:r>
        <w:rPr>
          <w:rtl/>
        </w:rPr>
        <w:t xml:space="preserve"> </w:t>
      </w:r>
      <w:r>
        <w:rPr>
          <w:rtl/>
        </w:rPr>
        <w:t xml:space="preserve">تعدد المصادر لنفس القيمة (صفحات + /apply + بريد + مسودات)؛ إحالة فورية لصفحة تحمل الشروط؛ لا أثر اعتماد في سلسلة المراسلات.</w:t>
      </w:r>
    </w:p>
    <w:p>
      <w:pPr>
        <w:numPr>
          <w:ilvl w:val="0"/>
          <w:numId w:val="1001"/>
        </w:numPr>
        <w:pStyle w:val="Compact"/>
        <w:bidi/>
      </w:pPr>
      <w:r>
        <w:rPr>
          <w:rtl/>
          <w:bCs/>
          <w:b/>
        </w:rPr>
        <w:t xml:space="preserve">مرجّح (غير مثبت):</w:t>
      </w:r>
      <w:r>
        <w:rPr>
          <w:rtl/>
        </w:rPr>
        <w:t xml:space="preserve"> </w:t>
      </w:r>
      <w:r>
        <w:rPr>
          <w:rtl/>
        </w:rPr>
        <w:t xml:space="preserve">نسخ نصوص من جامعة أخرى في EMGMS؛ غياب مالك للمحتوى الموسمي.</w:t>
      </w:r>
    </w:p>
    <w:bookmarkEnd w:id="24"/>
    <w:bookmarkStart w:id="25" w:name="بوابات-الإغلاق-تقييم"/>
    <w:p>
      <w:pPr>
        <w:pStyle w:val="Heading1"/>
        <w:bidi/>
      </w:pPr>
      <w:r>
        <w:rPr>
          <w:rtl/>
        </w:rPr>
        <w:t xml:space="preserve">6. بوابات الإغلاق (تقييم)</w:t>
      </w:r>
    </w:p>
    <w:p>
      <w:pPr>
        <w:bidi/>
      </w:pPr>
      <w:r>
        <w:rPr>
          <w:rtl/>
        </w:rPr>
        <w:t xml:space="preserve">G0 النطاق/الصلاحيات:</w:t>
      </w:r>
      <w:r>
        <w:rPr>
          <w:rtl/>
        </w:rPr>
        <w:t xml:space="preserve"> </w:t>
      </w:r>
      <w:r>
        <w:rPr>
          <w:rtl/>
          <w:bCs/>
          <w:b/>
        </w:rPr>
        <w:t xml:space="preserve">جزئي</w:t>
      </w:r>
      <w:r>
        <w:rPr>
          <w:rtl/>
        </w:rPr>
        <w:t xml:space="preserve"> </w:t>
      </w:r>
      <w:r>
        <w:rPr>
          <w:rtl/>
        </w:rPr>
        <w:t xml:space="preserve">(قراءة فقط) · G1 التغطية:</w:t>
      </w:r>
      <w:r>
        <w:rPr>
          <w:rtl/>
        </w:rPr>
        <w:t xml:space="preserve"> </w:t>
      </w:r>
      <w:r>
        <w:rPr>
          <w:rtl/>
          <w:bCs/>
          <w:b/>
        </w:rPr>
        <w:t xml:space="preserve">جزئي</w:t>
      </w:r>
      <w:r>
        <w:rPr>
          <w:rtl/>
        </w:rPr>
        <w:t xml:space="preserve"> </w:t>
      </w:r>
      <w:r>
        <w:rPr>
          <w:rtl/>
        </w:rPr>
        <w:t xml:space="preserve">(39/39 صفحة مقروءة؛ P2/P3 الخارجية غير مؤكدة دلاليًا؛ سطح المكتب لم يُختبر) · G2 السياسات:</w:t>
      </w:r>
      <w:r>
        <w:rPr>
          <w:rtl/>
        </w:rPr>
        <w:t xml:space="preserve"> </w:t>
      </w:r>
      <w:r>
        <w:rPr>
          <w:rtl/>
          <w:bCs/>
          <w:b/>
        </w:rPr>
        <w:t xml:space="preserve">FAIL</w:t>
      </w:r>
      <w:r>
        <w:rPr>
          <w:rtl/>
        </w:rPr>
        <w:t xml:space="preserve"> </w:t>
      </w:r>
      <w:r>
        <w:rPr>
          <w:rtl/>
        </w:rPr>
        <w:t xml:space="preserve">· G3 معالجة:</w:t>
      </w:r>
      <w:r>
        <w:rPr>
          <w:rtl/>
        </w:rPr>
        <w:t xml:space="preserve"> </w:t>
      </w:r>
      <w:r>
        <w:rPr>
          <w:rtl/>
          <w:bCs/>
          <w:b/>
        </w:rPr>
        <w:t xml:space="preserve">NOT STARTED</w:t>
      </w:r>
      <w:r>
        <w:rPr>
          <w:rtl/>
        </w:rPr>
        <w:t xml:space="preserve"> </w:t>
      </w:r>
      <w:r>
        <w:rPr>
          <w:rtl/>
        </w:rPr>
        <w:t xml:space="preserve">· G4 QA/UAT:</w:t>
      </w:r>
      <w:r>
        <w:rPr>
          <w:rtl/>
        </w:rPr>
        <w:t xml:space="preserve"> </w:t>
      </w:r>
      <w:r>
        <w:rPr>
          <w:rtl/>
          <w:bCs/>
          <w:b/>
        </w:rPr>
        <w:t xml:space="preserve">NOT TESTED</w:t>
      </w:r>
      <w:r>
        <w:rPr>
          <w:rtl/>
        </w:rPr>
        <w:t xml:space="preserve"> </w:t>
      </w:r>
      <w:r>
        <w:rPr>
          <w:rtl/>
        </w:rPr>
        <w:t xml:space="preserve">· G5 إنتاج:</w:t>
      </w:r>
      <w:r>
        <w:rPr>
          <w:rtl/>
        </w:rPr>
        <w:t xml:space="preserve"> </w:t>
      </w:r>
      <w:r>
        <w:rPr>
          <w:rtl/>
          <w:bCs/>
          <w:b/>
        </w:rPr>
        <w:t xml:space="preserve">NOT TESTED</w:t>
      </w:r>
      <w:r>
        <w:rPr>
          <w:rtl/>
        </w:rPr>
        <w:t xml:space="preserve"> </w:t>
      </w:r>
      <w:r>
        <w:rPr>
          <w:rtl/>
        </w:rPr>
        <w:t xml:space="preserve">· G6 خصوصية:</w:t>
      </w:r>
      <w:r>
        <w:rPr>
          <w:rtl/>
        </w:rPr>
        <w:t xml:space="preserve"> </w:t>
      </w:r>
      <w:r>
        <w:rPr>
          <w:rtl/>
          <w:bCs/>
          <w:b/>
        </w:rPr>
        <w:t xml:space="preserve">مفتوح</w:t>
      </w:r>
      <w:r>
        <w:rPr>
          <w:rtl/>
        </w:rPr>
        <w:t xml:space="preserve"> </w:t>
      </w:r>
      <w:r>
        <w:rPr>
          <w:rtl/>
        </w:rPr>
        <w:t xml:space="preserve">(F-45، F-77؛ يلزم قانوني) · G7 استمرارية:</w:t>
      </w:r>
      <w:r>
        <w:rPr>
          <w:rtl/>
        </w:rPr>
        <w:t xml:space="preserve"> </w:t>
      </w:r>
      <w:r>
        <w:rPr>
          <w:rtl/>
          <w:bCs/>
          <w:b/>
        </w:rPr>
        <w:t xml:space="preserve">NOT TESTED</w:t>
      </w:r>
      <w:r>
        <w:rPr>
          <w:rtl/>
        </w:rPr>
        <w:t xml:space="preserve"> </w:t>
      </w:r>
      <w:r>
        <w:rPr>
          <w:rtl/>
        </w:rPr>
        <w:t xml:space="preserve">· G8 حوكمة:</w:t>
      </w:r>
      <w:r>
        <w:rPr>
          <w:rtl/>
        </w:rPr>
        <w:t xml:space="preserve"> </w:t>
      </w:r>
      <w:r>
        <w:rPr>
          <w:rtl/>
          <w:bCs/>
          <w:b/>
        </w:rPr>
        <w:t xml:space="preserve">NOT STARTED</w:t>
      </w:r>
      <w:r>
        <w:rPr>
          <w:rtl/>
        </w:rPr>
        <w:t xml:space="preserve"> </w:t>
      </w:r>
      <w:r>
        <w:rPr>
          <w:rtl/>
        </w:rPr>
        <w:t xml:space="preserve">· G9 قيمة استراتيجية:</w:t>
      </w:r>
      <w:r>
        <w:rPr>
          <w:rtl/>
        </w:rPr>
        <w:t xml:space="preserve"> </w:t>
      </w:r>
      <w:r>
        <w:rPr>
          <w:rtl/>
          <w:bCs/>
          <w:b/>
        </w:rPr>
        <w:t xml:space="preserve">مسودة</w:t>
      </w:r>
      <w:r>
        <w:rPr>
          <w:rtl/>
        </w:rPr>
        <w:t xml:space="preserve"> </w:t>
      </w:r>
      <w:r>
        <w:rPr>
          <w:rtl/>
        </w:rPr>
        <w:t xml:space="preserve">· G10 تدقيق مستقل نهائي:</w:t>
      </w:r>
      <w:r>
        <w:rPr>
          <w:rtl/>
        </w:rPr>
        <w:t xml:space="preserve"> </w:t>
      </w:r>
      <w:r>
        <w:rPr>
          <w:rtl/>
          <w:bCs/>
          <w:b/>
        </w:rPr>
        <w:t xml:space="preserve">NOT STARTED</w:t>
      </w:r>
      <w:r>
        <w:rPr>
          <w:rtl/>
        </w:rPr>
        <w:t xml:space="preserve"> </w:t>
      </w:r>
      <w:r>
        <w:rPr>
          <w:rtl/>
        </w:rPr>
        <w:t xml:space="preserve">· G11 اعتماد:</w:t>
      </w:r>
      <w:r>
        <w:rPr>
          <w:rtl/>
        </w:rPr>
        <w:t xml:space="preserve"> </w:t>
      </w:r>
      <w:r>
        <w:rPr>
          <w:rtl/>
          <w:bCs/>
          <w:b/>
        </w:rPr>
        <w:t xml:space="preserve">لا يوجد</w:t>
      </w:r>
      <w:r>
        <w:rPr>
          <w:rtl/>
        </w:rPr>
        <w:t xml:space="preserve">.</w:t>
      </w:r>
    </w:p>
    <w:bookmarkEnd w:id="25"/>
    <w:bookmarkStart w:id="26" w:name="مؤشرات-مع-المقامات"/>
    <w:p>
      <w:pPr>
        <w:pStyle w:val="Heading1"/>
        <w:bidi/>
      </w:pPr>
      <w:r>
        <w:rPr>
          <w:rtl/>
        </w:rPr>
        <w:t xml:space="preserve">7. مؤشرات (مع المقامات)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Audit Coverage (صفحات): 39/39 مفتوحة ومقروءة؛ تدقيق سطري كامل = 38/39 (الرئيسية جزئية بسبب JS) ≈ 97%.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Verified Closure Rate: 0 / (إجراءات تتطلب إغلاقًا) = 0% — لم يُنفَّذ شيء.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Test Pass Rate: لم تُنفَّذ اختبارات PASS رسمية؛ فحوص القراءة فقط.</w:t>
      </w:r>
    </w:p>
    <w:p>
      <w:pPr>
        <w:numPr>
          <w:ilvl w:val="0"/>
          <w:numId w:val="1002"/>
        </w:numPr>
        <w:pStyle w:val="Compact"/>
        <w:bidi/>
      </w:pPr>
      <w:r>
        <w:rPr>
          <w:rtl/>
        </w:rPr>
        <w:t xml:space="preserve">Evidence Completeness: 0/0 بنود مغلقة (لا مغلق).</w:t>
      </w:r>
    </w:p>
    <w:bookmarkEnd w:id="26"/>
    <w:bookmarkStart w:id="27" w:name="حدود-وما-لم-ينفذ"/>
    <w:p>
      <w:pPr>
        <w:pStyle w:val="Heading1"/>
        <w:bidi/>
      </w:pPr>
      <w:r>
        <w:rPr>
          <w:rtl/>
        </w:rPr>
        <w:t xml:space="preserve">8. حدود وما لم يُنفَّذ</w:t>
      </w:r>
    </w:p>
    <w:p>
      <w:pPr>
        <w:bidi/>
      </w:pPr>
      <w:r>
        <w:rPr>
          <w:rtl/>
        </w:rPr>
        <w:t xml:space="preserve">سطح المكتب غير مختبر (حظر UA)؛ لا طلب قبول ولا دفع؛ القرارات المالية والسياسية والامتثال القانوني (PDPL) خارج صلاحيتي؛ الأعمال الإنتاجية تُنقل لمالك الموقع بعد الاعتماد.</w:t>
      </w:r>
    </w:p>
    <w:bookmarkEnd w:id="2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PMU Admissions v5.0 — PACK A: القرارات التنفيذية وحزمة التحقق</dc:title>
  <dc:creator/>
  <dc:language>ar</dc:language>
  <cp:keywords/>
  <dcterms:created xsi:type="dcterms:W3CDTF">2026-10-10T09:39:05Z</dcterms:created>
  <dcterms:modified xsi:type="dcterms:W3CDTF">2026-10-10T09:39:05Z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ir">
    <vt:lpwstr>rtl</vt:lpwstr>
  </property>
  <property fmtid="{D5CDD505-2E9C-101B-9397-08002B2CF9AE}" pid="3" name="subtitle">
    <vt:lpwstr>تدقيق مستقل لصفحة مكتب القبول وروابطها المباشرة — 10 أكتوبر 2026</vt:lpwstr>
  </property>
</Properties>
</file>