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71E38" w14:textId="77777777" w:rsidR="000030DF" w:rsidRPr="008B5621" w:rsidRDefault="00000000">
      <w:pPr>
        <w:keepNext/>
        <w:spacing w:after="80" w:line="240" w:lineRule="auto" w:before="0"/>
        <w:rPr>
          <w:rFonts w:asciiTheme="majorBidi" w:hAnsiTheme="majorBidi" w:cstheme="majorBidi"/>
          <w:szCs w:val="16"/>
        </w:rPr>
      </w:pPr>
      <w:r w:rsidRPr="008B5621">
        <w:rPr>
          <w:rFonts w:asciiTheme="majorBidi" w:eastAsia="Times New Roman" w:hAnsiTheme="majorBidi" w:cstheme="majorBidi" w:ascii="Times New Roman" w:hAnsi="Times New Roman" w:cs="Times New Roman"/>
          <w:b/>
          <w:i w:val="0"/>
          <w:color w:val="000000"/>
          <w:sz w:val="18"/>
          <w:szCs w:val="16"/>
        </w:rPr>
        <w:t>Table S1. Index sets, notation, spatial layers, and model roles</w:t>
      </w:r>
    </w:p>
    <w:p w14:paraId="48BF09CF" w14:textId="77777777" w:rsidR="000030DF" w:rsidRPr="008B5621" w:rsidRDefault="00000000">
      <w:pPr>
        <w:keepNext w:val="0"/>
        <w:spacing w:after="60" w:line="240" w:lineRule="auto" w:before="0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This table defines the notation, spatial layers, and computational roles used throughout the model. Parameter provenance is summarized in Table S9.</w:t>
      </w:r>
    </w:p>
    <w:tbl>
      <w:tblPr>
        <w:tblStyle w:val="TableGrid"/>
        <w:tblW w:w="1530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2682"/>
        <w:gridCol w:w="5150"/>
        <w:gridCol w:w="7477"/>
      </w:tblGrid>
      <w:tr w:rsidR="000030DF" w:rsidRPr="008B5621" w14:paraId="5427A02E" w14:textId="77777777">
        <w:trPr>
          <w:cantSplit/>
          <w:tblHeader w:val="true"/>
          <w:jc w:val="center"/>
        </w:trPr>
        <w:tc>
          <w:tcPr>
            <w:tcW w:w="273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63E81E44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Name / definition</w:t>
            </w:r>
          </w:p>
        </w:tc>
        <w:tc>
          <w:tcPr>
            <w:tcW w:w="5256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5ADE0F43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Symbol or set</w:t>
            </w:r>
          </w:p>
        </w:tc>
        <w:tc>
          <w:tcPr>
            <w:tcW w:w="7632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3FC6126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Role in the implemented model</w:t>
            </w:r>
          </w:p>
        </w:tc>
      </w:tr>
      <w:tr w:rsidR="000030DF" w:rsidRPr="008B5621" w14:paraId="3A63352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F38F974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Time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7C68A78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T={</m:t>
                </m:r>
                <m:r>
                  <w:rPr>
                    <w:rFonts w:ascii="Times New Roman" w:hAnsi="Times New Roman" w:cstheme="majorBidi"/>
                    <w:szCs w:val="16"/>
                  </w:rPr>
                  <m:t>2012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r>
                  <w:rPr>
                    <w:rFonts w:ascii="Times New Roman" w:hAnsi="Times New Roman" w:cstheme="majorBidi"/>
                    <w:szCs w:val="16"/>
                  </w:rPr>
                  <m:t>2030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 t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∈T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6BAE154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Annual time step. Historical reconstruction covers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2012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--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2023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the strict terminal holdout is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2022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--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2023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after training through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2021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and projection covers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2024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--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2030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</w:tr>
      <w:tr w:rsidR="000030DF" w:rsidRPr="008B5621" w14:paraId="44C3715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AFAC049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Scenario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AF5CF4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={SC0,…,SC11},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 s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∈S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28DCB76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SC0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is the continuation baseline;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SC1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--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SC7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are atomic levers;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SC8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--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SC11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are integrated packages.</w:t>
            </w:r>
          </w:p>
        </w:tc>
      </w:tr>
      <w:tr w:rsidR="000030DF" w:rsidRPr="008B5621" w14:paraId="075BBDD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E0F499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Region / spatial layer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9145612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={C,R12,TFP},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 r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∈R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C36A4C3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C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denotes Tehran city-wide reporting,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R12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denotes Region 12, and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TFP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denotes the traffic-plan exposure layer used for access-sensitive trips and revenue attribution.</w:t>
            </w:r>
          </w:p>
        </w:tc>
      </w:tr>
      <w:tr w:rsidR="000030DF" w:rsidRPr="008B5621" w14:paraId="7F1B59C5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8E6AEB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Mode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3A8B1B5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m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∈M,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⊆M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9B63BA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M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contains motorcycle, private car, taxi, bus, metro, and other. Bicycle is treated as a derived component within Other. BRT is treated as a structural submode within bus.</w:t>
            </w:r>
          </w:p>
        </w:tc>
      </w:tr>
      <w:tr w:rsidR="000030DF" w:rsidRPr="008B5621" w14:paraId="3E37314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74FCE2E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Public-transport mode subset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A59F0B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={bus,metro}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D324CB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Used for public-transport modal share, fare support,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OPEX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, subsidy, and farebox-recovery indicators.</w:t>
            </w:r>
          </w:p>
        </w:tc>
      </w:tr>
      <w:tr w:rsidR="000030DF" w:rsidRPr="008B5621" w14:paraId="504B2FA3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6A26BD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Road-mode subset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15D1879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road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={motorcycle,car,taxi,bus,other}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B809E71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Used for road loading, PCE weighting, travel-time loss, and local tailpipe-emissions accounting.</w:t>
            </w:r>
          </w:p>
        </w:tc>
      </w:tr>
      <w:tr w:rsidR="000030DF" w:rsidRPr="008B5621" w14:paraId="5E5E9C6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F6F7134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Fuel or carrier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56D4CC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ICE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⊆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B2E6829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Carrier or technology path compatible with mode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, including gasoline, diesel, CNG, and electricity.</w:t>
            </w:r>
          </w:p>
        </w:tc>
      </w:tr>
      <w:tr w:rsidR="000030DF" w:rsidRPr="008B5621" w14:paraId="022EDEC7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EA2D509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Pollutant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7D3AE41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p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∈P={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NO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PM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2.5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ED0FAB6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P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contains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C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</m:t>
                  </m:r>
                </m:sub>
              </m:sSub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N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x</m:t>
                  </m:r>
                </m:sub>
              </m:sSub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P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M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2.5</m:t>
                  </m:r>
                </m:sub>
              </m:sSub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and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</m:t>
                  </m:r>
                </m:sub>
              </m:sSub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, with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C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</m:t>
                  </m:r>
                </m:sub>
              </m:sSub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used for climate accounting and local pollutants used for exposure and health-burden channels.</w:t>
            </w:r>
          </w:p>
        </w:tc>
      </w:tr>
      <w:tr w:rsidR="000030DF" w:rsidRPr="008B5621" w14:paraId="5FBC848D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2536C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Agent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B3833B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i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∈{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r>
                  <w:rPr>
                    <w:rFonts w:ascii="Times New Roman" w:hAnsi="Times New Roman" w:cstheme="majorBidi"/>
                    <w:szCs w:val="16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Indexes the 706 computational agents. By structural type, the model contains 237 inputs, 441 expression agents, 16 stocks, and 12 fixed ML surrogates; functional roles are reported below.</w:t>
            </w:r>
          </w:p>
        </w:tc>
      </w:tr>
      <w:tr w:rsidR="000030DF" w:rsidRPr="008B5621" w14:paraId="28A1178B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E35F534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Agent type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70CBFE1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type</m:t>
                </m:r>
                <m:d>
                  <m:d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∈{IN,EX,ST,ML}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29FB79" w14:textId="77777777" w:rsidR="000030DF" w:rsidRPr="008B5621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Structural type: exogenous input (IN), expression (EX), stock (ST), or fixed ML surrogate (ML). Expression agents are assigned either SD or ABM functional roles.</w:t>
            </w:r>
          </w:p>
        </w:tc>
      </w:tr>
      <w:tr w:rsidR="000030DF" w:rsidRPr="008B5621" w14:paraId="5C281D7D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710E705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Committed system state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E7B7525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s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⊤</m:t>
                    </m:r>
                  </m:sup>
                </m:sSup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149ED7A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Committed annual state used by all shared-state components after each simulation step.</w:t>
            </w:r>
          </w:p>
        </w:tc>
      </w:tr>
      <w:tr w:rsidR="000030DF" w:rsidRPr="008B5621" w14:paraId="1DCCF40D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A0018C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Exogenous driver vector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0C3785D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U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5ED5B1B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Observed exogenous drivers are replayed in hindcast and projected through declared schedules; they do not overwrite endogenous states.</w:t>
            </w:r>
          </w:p>
        </w:tc>
      </w:tr>
      <w:tr w:rsidR="000030DF" w:rsidRPr="008B5621" w14:paraId="2DD01945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ABB5703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Scenario-overlay vector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005E215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CBF313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Active scenario overlay for policy-sensitive variables and exogenous projection schedules in scenario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s</m:t>
              </m:r>
            </m:oMath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</w:tr>
      <w:tr w:rsidR="000030DF" w:rsidRPr="008B5621" w14:paraId="7F2B8270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366436F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Projection window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535CB39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proj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</m:t>
                </m:r>
                <m:r>
                  <w:rPr>
                    <w:rFonts w:ascii="Times New Roman" w:hAnsi="Times New Roman" w:cstheme="majorBidi"/>
                    <w:szCs w:val="16"/>
                  </w:rPr>
                  <m:t>2024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,…,</m:t>
                </m:r>
                <m:r>
                  <w:rPr>
                    <w:rFonts w:ascii="Times New Roman" w:hAnsi="Times New Roman" w:cstheme="majorBidi"/>
                    <w:szCs w:val="16"/>
                  </w:rPr>
                  <m:t>2030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 e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2030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BC211A4" w14:textId="77777777" w:rsidR="000030DF" w:rsidRPr="008B5621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Projection window used for KPI summaries and decision scoring; e denotes the terminal projection year (2030).</w:t>
            </w:r>
          </w:p>
        </w:tc>
      </w:tr>
      <w:tr w:rsidR="000030DF" w:rsidRPr="008B5621" w14:paraId="1C6E0AC2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37F5ED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Policy-scenario set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E26D06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pol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={SC1,…,SC11}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D7D568D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Non-baseline scenario set used for max-absolute normalization of oriented cumulative effects.</w:t>
            </w:r>
          </w:p>
        </w:tc>
      </w:tr>
      <w:tr w:rsidR="000030DF" w:rsidRPr="008B5621" w14:paraId="58FE6AB8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49F7C6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Core decision domains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5748A02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D={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env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soc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econ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DF3B9A" w14:textId="77777777" w:rsidR="000030DF" w:rsidRPr="008B5621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Four outcome domains used only in the preference-conditioned decision score: Transportation, Environmental, Social, and Economic. These are distinct from the calibration target domains.</w:t>
            </w:r>
          </w:p>
        </w:tc>
      </w:tr>
      <w:tr w:rsidR="000030DF" w:rsidRPr="008B5621" w14:paraId="45CF686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35104A3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Retained KPI set for domain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d</m:t>
              </m:r>
            </m:oMath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62BBB5B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 d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∈D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6BF593E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Three representative KPI subfamilies are retained per domain; highly collinear indicators remain in raw outputs and sensitivity checks.</w:t>
            </w:r>
          </w:p>
        </w:tc>
      </w:tr>
      <w:tr w:rsidR="000030DF" w:rsidRPr="008B5621" w14:paraId="50ACAD3B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0E613AF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Orientation coefficients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8E049A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∈{-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,+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 k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∈K;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impl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∈{-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,+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 j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impl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4537497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oₖ maps each retained outcome KPI to its preferred direction before decision normalization; oⱼⁱᵐᵖˡ does the same for implementation-screen indicators. Figure 9 remains signed and unoriented.</w:t>
            </w:r>
          </w:p>
        </w:tc>
      </w:tr>
      <w:tr w:rsidR="000030DF" w:rsidRPr="008B5621" w14:paraId="563EB19A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7E8B40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Reporting geography subset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B0CF6C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={C,R12}⊂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R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A122C69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Geographies used for KPI reporting and decision scoring; the TFP layer remains an exposure and revenue sublayer rather than a separate outcome geography.</w:t>
            </w:r>
          </w:p>
        </w:tc>
      </w:tr>
      <w:tr w:rsidR="000030DF" w:rsidRPr="008B5621" w14:paraId="00C8E727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E304BA5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Health exposure species / source mapping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DD2C597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PM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2.5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NO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},</m:t>
                </m:r>
                <m:r>
                  <w:rPr>
                    <w:rFonts w:ascii="Times New Roman" w:hAnsi="Times New Roman" w:cstheme="majorBidi"/>
                    <w:szCs w:val="16"/>
                  </w:rPr>
                  <m:t> χ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→P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9F32B16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Exposure-response species used in city health accounting; χ maps PM₂.₅ to PM₂.₅ and NO₂ to NOₓ in the source emissions inventory.</w:t>
            </w:r>
          </w:p>
        </w:tc>
      </w:tr>
      <w:tr w:rsidR="000030DF" w:rsidRPr="008B5621" w14:paraId="69541F02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65875E5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Global parameter collection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AAFAAE8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Θ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={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imes New Roman" w:hAnsi="Times New Roman" w:cstheme="majorBidi"/>
                        <w:szCs w:val="16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SD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imes New Roman" w:hAnsi="Times New Roman" w:cstheme="majorBidi"/>
                        <w:szCs w:val="16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ABM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imes New Roman" w:hAnsi="Times New Roman" w:cstheme="majorBidi"/>
                        <w:szCs w:val="16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ML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}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03C6DFB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Global parameter collection appearing in main-text Eq. 1; it is not the search space of the local recovery analysis.</w:t>
            </w:r>
          </w:p>
        </w:tc>
      </w:tr>
      <w:tr w:rsidR="000030DF" w:rsidRPr="008B5621" w14:paraId="31D00F66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366DFC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ML lookback set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2649B7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E6E446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Admissible lag order/set used to construct the mode- and region-specific ML feature history in Eq. 2.</w:t>
            </w:r>
          </w:p>
        </w:tc>
      </w:tr>
      <w:tr w:rsidR="000030DF" w:rsidRPr="008B5621" w14:paraId="6E176FC3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EB77DA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Calibration target-domain index and weights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56197BA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cal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c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cal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≥</m:t>
                </m:r>
                <m:r>
                  <w:rPr>
                    <w:rFonts w:ascii="Times New Roman" w:hAnsi="Times New Roman" w:cstheme="majorBidi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 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cal</m:t>
                        </m:r>
                      </m:sub>
                    </m:sSub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Cs w:val="16"/>
                              </w:rPr>
                              <m:t>c</m:t>
                            </m:r>
                          </m:sub>
                        </m:sSub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cal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1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067086" w14:textId="77777777" w:rsidR="000030DF" w:rsidRPr="008B5621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Seven calibration target domains used only in Eq. 12: Tehran modal shares, R12 modal shares, speed, travel activity, energy/environment, annual vehicle distance, and operational shares. The calibration-domain index and weights are distinct from the decision-domain index and preference weights used after simulation.</w:t>
            </w:r>
          </w:p>
        </w:tc>
      </w:tr>
      <w:tr w:rsidR="000030DF" w:rsidRPr="008B5621" w14:paraId="420419CF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42776B1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Local recovery parameter space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90118AD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V⊂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1C7D6A" w14:textId="77777777" w:rsidR="000030DF" w:rsidRPr="008B5621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Admissible four-dimensional scalar search space used by the local parameter-recovery analysis; distinct from the global model parameter collection Θ.</w:t>
            </w:r>
          </w:p>
        </w:tc>
      </w:tr>
      <w:tr w:rsidR="000030DF" w:rsidRPr="008B5621" w14:paraId="639C0CA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5EECEC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Asset / infrastructure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EB3E196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a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∈A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E23F1D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Infrastructure or procurement asset class used in network, CAPEX, and unit-cost relations.</w:t>
            </w:r>
          </w:p>
        </w:tc>
      </w:tr>
      <w:tr w:rsidR="000030DF" w:rsidRPr="008B5621" w14:paraId="1A7CAB25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49F648C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KPI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E139EF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k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∈K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8784F07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Outcome-indicator index used in baseline-relative effects, normalization, and domain scores.</w:t>
            </w:r>
          </w:p>
        </w:tc>
      </w:tr>
      <w:tr w:rsidR="000030DF" w:rsidRPr="008B5621" w14:paraId="11EB5829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BBE57A0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Trip-length class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345CE9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g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∈G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DD0A92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Trip-length class used to map modes and spatial layers to representative trip lengths.</w:t>
            </w:r>
          </w:p>
        </w:tc>
      </w:tr>
      <w:tr w:rsidR="000030DF" w:rsidRPr="008B5621" w14:paraId="76E4A924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A1DD90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lastRenderedPageBreak/>
              <w:t>Validation-comparison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BD876C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v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∈V</m:t>
                </m:r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A011738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Indexes valid observed-simulated metric-year comparisons in pooled validation measures.</w:t>
            </w:r>
          </w:p>
        </w:tc>
      </w:tr>
      <w:tr w:rsidR="000030DF" w:rsidRPr="008B5621" w14:paraId="4210E28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39B633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Implementation-indicator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A0FA08F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impl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48F8C93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Index for implementation-side feasibility indicators used in the separate implementation screen.</w:t>
            </w:r>
          </w:p>
        </w:tc>
      </w:tr>
      <w:tr w:rsidR="000030DF" w:rsidRPr="008B5621" w14:paraId="4B12065A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CD044DE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Policy-control channel index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CEEC5F9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j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pol</m:t>
                    </m:r>
                  </m:sub>
                </m:sSub>
              </m:oMath>
            </m:oMathPara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F2DCCAD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Indexes scenario-overlay channels in the policy schedule table.</w:t>
            </w:r>
          </w:p>
        </w:tc>
      </w:tr>
      <w:tr w:rsidR="000030DF" w:rsidRPr="008B5621" w14:paraId="207FF43B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D8A8E21" w14:textId="77777777" w:rsidR="000030DF" w:rsidRPr="008B5621" w:rsidRDefault="00000000">
            <w:pPr>
              <w:spacing w:line="240" w:lineRule="auto" w:before="0" w:after="0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Functional role assignment</w:t>
            </w:r>
          </w:p>
        </w:tc>
        <w:tc>
          <w:tcPr>
            <w:tcW w:w="5256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77B3CE4" w14:textId="77777777" w:rsidR="000030DF" w:rsidRPr="008B5621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Cs w:val="16"/>
              </w:rPr>
            </w:pPr>
            <w:r w:rsidRPr="008B5621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Input / SD / ABM / ML</w:t>
            </w:r>
          </w:p>
        </w:tc>
        <w:tc>
          <w:tcPr>
            <w:tcW w:w="7632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The same 706 agents are functionally classified as 237 inputs, 400 SD roles, 57 ABM mediation roles, and 12 ML modal-prior roles. The SD group comprises 384 aggregate expressions and 16 stocks; the ABM group comprises 57 mediation expressions.</w:t>
            </w:r>
          </w:p>
        </w:tc>
      </w:tr>
    </w:tbl>
    <w:p w14:paraId="312CB7DD" w14:textId="77777777" w:rsidR="000030DF" w:rsidRPr="008B5621" w:rsidRDefault="00000000">
      <w:pPr>
        <w:keepNext w:val="0"/>
        <w:spacing w:before="40" w:after="40" w:line="240" w:lineRule="auto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  <w:t>Structural and functional counts refer to the same 706-agent specification. Every retained agent contributes to simulation, lag construction, or reported outputs.</w:t>
      </w:r>
    </w:p>
    <w:sectPr w:rsidR="000030DF" w:rsidRPr="008B5621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840881">
    <w:abstractNumId w:val="8"/>
  </w:num>
  <w:num w:numId="2" w16cid:durableId="1779327882">
    <w:abstractNumId w:val="6"/>
  </w:num>
  <w:num w:numId="3" w16cid:durableId="2048069423">
    <w:abstractNumId w:val="5"/>
  </w:num>
  <w:num w:numId="4" w16cid:durableId="1572037229">
    <w:abstractNumId w:val="4"/>
  </w:num>
  <w:num w:numId="5" w16cid:durableId="1829862562">
    <w:abstractNumId w:val="7"/>
  </w:num>
  <w:num w:numId="6" w16cid:durableId="1943877939">
    <w:abstractNumId w:val="3"/>
  </w:num>
  <w:num w:numId="7" w16cid:durableId="1972251668">
    <w:abstractNumId w:val="2"/>
  </w:num>
  <w:num w:numId="8" w16cid:durableId="1974864077">
    <w:abstractNumId w:val="1"/>
  </w:num>
  <w:num w:numId="9" w16cid:durableId="133569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30DF"/>
    <w:rsid w:val="000030DF"/>
    <w:rsid w:val="006B12A0"/>
    <w:rsid w:val="008B5621"/>
    <w:rsid w:val="00DE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9CB5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1059</Words>
  <Characters>6040</Characters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2026-01-01T00:00:00Z</dcterms:created>
  <dcterms:modified xsi:type="dcterms:W3CDTF">2026-08-17T02:05:00Z</dcterms:modified>
  <cp:category/>
</cp:coreProperties>
</file>