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76B38" w14:textId="77777777" w:rsidR="009C6BE0" w:rsidRPr="006B6DB2" w:rsidRDefault="00000000">
      <w:pPr>
        <w:keepNext/>
        <w:spacing w:after="80" w:line="240" w:lineRule="auto" w:before="0"/>
        <w:rPr>
          <w:rFonts w:asciiTheme="majorBidi" w:hAnsiTheme="majorBidi" w:cstheme="majorBidi"/>
          <w:b/>
          <w:bCs/>
          <w:szCs w:val="16"/>
        </w:rPr>
      </w:pPr>
      <w:r w:rsidRPr="006B6DB2">
        <w:rPr>
          <w:rFonts w:asciiTheme="majorBidi" w:hAnsiTheme="majorBidi" w:cstheme="majorBidi" w:ascii="Times New Roman" w:hAnsi="Times New Roman" w:eastAsia="Times New Roman" w:cs="Times New Roman"/>
          <w:b/>
          <w:bCs/>
          <w:i w:val="0"/>
          <w:color w:val="000000"/>
          <w:sz w:val="18"/>
          <w:szCs w:val="16"/>
        </w:rPr>
        <w:t>Table S2. Shared-state execution, temporal-control protocol, and validation logic</w:t>
      </w:r>
    </w:p>
    <w:p w14:paraId="7A8925A5" w14:textId="77777777" w:rsidR="009C6BE0" w:rsidRPr="006B6DB2" w:rsidRDefault="00000000">
      <w:pPr>
        <w:keepNext w:val="0"/>
        <w:spacing w:after="60" w:line="240" w:lineRule="auto" w:before="0"/>
        <w:rPr>
          <w:rFonts w:asciiTheme="majorBidi" w:hAnsiTheme="majorBidi" w:cstheme="majorBidi"/>
          <w:szCs w:val="16"/>
        </w:rPr>
      </w:pPr>
      <w:r>
        <w:rPr>
          <w:rFonts w:ascii="Times New Roman" w:hAnsi="Times New Roman" w:eastAsia="Times New Roman" w:cs="Times New Roman"/>
          <w:b w:val="0"/>
          <w:i/>
          <w:color w:val="000000"/>
          <w:sz w:val="16"/>
        </w:rPr>
        <w:t>Note. The relations summarize shared-state execution, temporal admissibility, and validation rules. R identifiers are local to this table.</w:t>
      </w:r>
    </w:p>
    <w:tbl>
      <w:tblPr>
        <w:tblStyle w:val="TableGrid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35" w:type="dxa"/>
          <w:left w:w="35" w:type="dxa"/>
          <w:bottom w:w="35" w:type="dxa"/>
          <w:right w:w="35" w:type="dxa"/>
        </w:tblCellMar>
        <w:tblLook w:val="04A0" w:firstRow="1" w:lastRow="0" w:firstColumn="1" w:lastColumn="0" w:noHBand="0" w:noVBand="1"/>
      </w:tblPr>
      <w:tblGrid>
        <w:gridCol w:w="420"/>
        <w:gridCol w:w="2300"/>
        <w:gridCol w:w="6500"/>
        <w:gridCol w:w="6558"/>
      </w:tblGrid>
      <w:tr w:rsidR="009C6BE0" w:rsidRPr="006B6DB2" w14:paraId="2B62C00A" w14:textId="77777777" w:rsidTr="008D02D4">
        <w:trPr>
          <w:cantSplit/>
          <w:tblHeader w:val="true"/>
          <w:jc w:val="center"/>
        </w:trPr>
        <w:tc>
          <w:tcPr>
            <w:tcW w:w="420" w:type="dxa"/>
            <w:shd w:val="clear" w:color="auto" w:fill="E7E6E6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center"/>
          </w:tcPr>
          <w:p w14:paraId="7A763721" w14:textId="77777777" w:rsidR="009C6BE0" w:rsidRPr="006B6DB2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6B6DB2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R ID</w:t>
            </w:r>
          </w:p>
        </w:tc>
        <w:tc>
          <w:tcPr>
            <w:tcW w:w="2300" w:type="dxa"/>
            <w:shd w:val="clear" w:color="auto" w:fill="E7E6E6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center"/>
          </w:tcPr>
          <w:p w14:paraId="242DE780" w14:textId="77777777" w:rsidR="009C6BE0" w:rsidRPr="006B6DB2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6B6DB2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Component / concept</w:t>
            </w:r>
          </w:p>
        </w:tc>
        <w:tc>
          <w:tcPr>
            <w:tcW w:w="6500" w:type="dxa"/>
            <w:shd w:val="clear" w:color="auto" w:fill="E7E6E6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center"/>
          </w:tcPr>
          <w:p w14:paraId="1016CC61" w14:textId="77777777" w:rsidR="009C6BE0" w:rsidRPr="006B6DB2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6B6DB2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Formal relation</w:t>
            </w:r>
          </w:p>
        </w:tc>
        <w:tc>
          <w:tcPr>
            <w:tcW w:w="6558" w:type="dxa"/>
            <w:shd w:val="clear" w:color="auto" w:fill="E7E6E6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Model role</w:t>
            </w:r>
          </w:p>
        </w:tc>
      </w:tr>
      <w:tr w:rsidR="009C6BE0" w:rsidRPr="006B6DB2" w14:paraId="6392BC87" w14:textId="77777777" w:rsidTr="008D02D4">
        <w:trPr>
          <w:cantSplit/>
          <w:jc w:val="center"/>
        </w:trPr>
        <w:tc>
          <w:tcPr>
            <w:tcW w:w="4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66E0ADD" w14:textId="77777777" w:rsidR="009C6BE0" w:rsidRPr="006B6DB2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6B6DB2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R1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6A381D9" w14:textId="77777777" w:rsidR="009C6BE0" w:rsidRPr="006B6DB2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6B6DB2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Time grid</w:t>
            </w:r>
          </w:p>
        </w:tc>
        <w:tc>
          <w:tcPr>
            <w:tcW w:w="650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9B93934" w14:textId="77777777" w:rsidR="009C6BE0" w:rsidRPr="006B6DB2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T={</m:t>
                </m:r>
                <m:r>
                  <w:rPr>
                    <w:rFonts w:ascii="Times New Roman" w:hAnsi="Times New Roman" w:cstheme="majorBidi"/>
                    <w:szCs w:val="16"/>
                  </w:rPr>
                  <m:t>2012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,…,</m:t>
                </m:r>
                <m:r>
                  <w:rPr>
                    <w:rFonts w:ascii="Times New Roman" w:hAnsi="Times New Roman" w:cstheme="majorBidi"/>
                    <w:szCs w:val="16"/>
                  </w:rPr>
                  <m:t>2030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},</m:t>
                </m:r>
                <m:r>
                  <w:rPr>
                    <w:rFonts w:ascii="Times New Roman" w:hAnsi="Times New Roman" w:cstheme="majorBidi"/>
                    <w:szCs w:val="16"/>
                  </w:rPr>
                  <m:t> Δt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</m:t>
                </m:r>
                <m:r>
                  <w:rPr>
                    <w:rFonts w:ascii="Times New Roman" w:hAnsi="Times New Roman" w:cstheme="majorBidi"/>
                    <w:szCs w:val="16"/>
                  </w:rPr>
                  <m:t>1 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year</m:t>
                </m:r>
              </m:oMath>
            </m:oMathPara>
          </w:p>
        </w:tc>
        <w:tc>
          <w:tcPr>
            <w:tcW w:w="6558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1D42B6D" w14:textId="77777777" w:rsidR="009C6BE0" w:rsidRPr="006B6DB2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6B6DB2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Defines the fixed annual simulation grid used for alignment between observed history, projection schedules, and scenario outputs.</w:t>
            </w:r>
          </w:p>
        </w:tc>
      </w:tr>
      <w:tr w:rsidR="009C6BE0" w:rsidRPr="006B6DB2" w14:paraId="0486DC0F" w14:textId="77777777" w:rsidTr="008D02D4">
        <w:trPr>
          <w:cantSplit/>
          <w:jc w:val="center"/>
        </w:trPr>
        <w:tc>
          <w:tcPr>
            <w:tcW w:w="4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F576F46" w14:textId="77777777" w:rsidR="009C6BE0" w:rsidRPr="006B6DB2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6B6DB2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R2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85476F2" w14:textId="77777777" w:rsidR="009C6BE0" w:rsidRPr="006B6DB2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6B6DB2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Typed agent ontology</w:t>
            </w:r>
          </w:p>
        </w:tc>
        <w:tc>
          <w:tcPr>
            <w:tcW w:w="650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B63E353" w14:textId="77777777" w:rsidR="009C6BE0" w:rsidRPr="006B6DB2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type</m:t>
                </m:r>
                <m:d>
                  <m:d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d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i</m:t>
                    </m:r>
                  </m:e>
                </m:d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∈{IN,EX,ST,ML}</m:t>
                </m:r>
              </m:oMath>
            </m:oMathPara>
          </w:p>
        </w:tc>
        <w:tc>
          <w:tcPr>
            <w:tcW w:w="6558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214D6F2" w14:textId="77777777" w:rsidR="009C6BE0" w:rsidRPr="006B6DB2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Defines the computational ontology for exogenous inputs, expressions, stocks, and fixed ML surrogates.</w:t>
            </w:r>
          </w:p>
        </w:tc>
      </w:tr>
      <w:tr w:rsidR="009C6BE0" w:rsidRPr="006B6DB2" w14:paraId="175E2E50" w14:textId="77777777" w:rsidTr="008D02D4">
        <w:trPr>
          <w:cantSplit/>
          <w:jc w:val="center"/>
        </w:trPr>
        <w:tc>
          <w:tcPr>
            <w:tcW w:w="4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4B4CC45" w14:textId="77777777" w:rsidR="009C6BE0" w:rsidRPr="006B6DB2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6B6DB2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R3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70D3BF8" w14:textId="77777777" w:rsidR="009C6BE0" w:rsidRPr="006B6DB2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6B6DB2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Shared hybrid state</w:t>
            </w:r>
          </w:p>
        </w:tc>
        <w:tc>
          <w:tcPr>
            <w:tcW w:w="650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1C28F2F" w14:textId="77777777" w:rsidR="009C6BE0" w:rsidRPr="006B6DB2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</m:t>
                </m:r>
                <m:sSup>
                  <m:s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Times New Roman" w:hAnsi="Times New Roman" w:cstheme="majorBidi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1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,</m:t>
                            </m:r>
                            <m: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t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,</m:t>
                            </m:r>
                            <m: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s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Cs w:val="16"/>
                          </w:rPr>
                          <m:t>,…,</m:t>
                        </m:r>
                        <m:sSub>
                          <m:sSubPr>
                            <m:ctrlPr>
                              <w:rPr>
                                <w:rFonts w:ascii="Times New Roman" w:hAnsi="Times New Roman" w:cstheme="majorBidi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n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,</m:t>
                            </m:r>
                            <m: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t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,</m:t>
                            </m:r>
                            <m: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s</m:t>
                            </m:r>
                          </m:sub>
                        </m:sSub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⊤</m:t>
                    </m:r>
                  </m:sup>
                </m:sSup>
              </m:oMath>
            </m:oMathPara>
          </w:p>
        </w:tc>
        <w:tc>
          <w:tcPr>
            <w:tcW w:w="6558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FFBBBBE" w14:textId="77777777" w:rsidR="009C6BE0" w:rsidRPr="006B6DB2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6B6DB2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Represents the single committed state read and written by all </w:t>
            </w:r>
            <m:oMath>
              <m:r>
                <w:rPr>
                  <w:rFonts w:ascii="Times New Roman" w:hAnsi="Times New Roman" w:cstheme="majorBidi"/>
                  <w:szCs w:val="16"/>
                </w:rPr>
                <m:t>SD</m:t>
              </m:r>
            </m:oMath>
            <w:r w:rsidRPr="006B6DB2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m:oMath>
              <m:r>
                <w:rPr>
                  <w:rFonts w:ascii="Times New Roman" w:hAnsi="Times New Roman" w:cstheme="majorBidi"/>
                  <w:szCs w:val="16"/>
                </w:rPr>
                <m:t>ABM</m:t>
              </m:r>
            </m:oMath>
            <w:r w:rsidRPr="006B6DB2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, and </w:t>
            </w:r>
            <m:oMath>
              <m:r>
                <w:rPr>
                  <w:rFonts w:ascii="Times New Roman" w:hAnsi="Times New Roman" w:cstheme="majorBidi"/>
                  <w:szCs w:val="16"/>
                </w:rPr>
                <m:t>ML</m:t>
              </m:r>
            </m:oMath>
            <w:r w:rsidRPr="006B6DB2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 components.</w:t>
            </w:r>
          </w:p>
        </w:tc>
      </w:tr>
      <w:tr w:rsidR="009C6BE0" w:rsidRPr="006B6DB2" w14:paraId="3BD34A61" w14:textId="77777777" w:rsidTr="008D02D4">
        <w:trPr>
          <w:cantSplit/>
          <w:jc w:val="center"/>
        </w:trPr>
        <w:tc>
          <w:tcPr>
            <w:tcW w:w="4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32365B8" w14:textId="77777777" w:rsidR="009C6BE0" w:rsidRPr="006B6DB2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6B6DB2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R4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001EF3A" w14:textId="77777777" w:rsidR="009C6BE0" w:rsidRPr="006B6DB2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6B6DB2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Bounds and admissibility</w:t>
            </w:r>
          </w:p>
        </w:tc>
        <w:tc>
          <w:tcPr>
            <w:tcW w:w="650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543646D" w14:textId="77777777" w:rsidR="009C6BE0" w:rsidRPr="006B6DB2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l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≤</m:t>
                </m:r>
                <m:sSubSup>
                  <m:sSub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Sup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i</m:t>
                    </m:r>
                    <m:sSub>
                      <m:sSub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t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k</m:t>
                        </m:r>
                      </m:sub>
                    </m:sSub>
                  </m:sub>
                  <m:sup>
                    <m:d>
                      <m:d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s</m:t>
                        </m:r>
                      </m:e>
                    </m:d>
                  </m:sup>
                </m:sSubSup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≤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u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558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Enforces physically and logically admissible states through declared bounds, normalization, damping, and bounded fallback rules where required.</w:t>
            </w:r>
          </w:p>
        </w:tc>
      </w:tr>
      <w:tr w:rsidR="009C6BE0" w:rsidRPr="006B6DB2" w14:paraId="52ABCFBC" w14:textId="77777777" w:rsidTr="008D02D4">
        <w:trPr>
          <w:cantSplit/>
          <w:jc w:val="center"/>
        </w:trPr>
        <w:tc>
          <w:tcPr>
            <w:tcW w:w="4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3D93AAA" w14:textId="77777777" w:rsidR="009C6BE0" w:rsidRPr="006B6DB2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6B6DB2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R5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FAC53EA" w14:textId="77777777" w:rsidR="009C6BE0" w:rsidRPr="006B6DB2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Historical training, calibration, terminal holdout, and projection windows</w:t>
            </w:r>
          </w:p>
        </w:tc>
        <w:tc>
          <w:tcPr>
            <w:tcW w:w="650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11C0EC7" w14:textId="77777777" w:rsidR="009C6BE0" w:rsidRPr="006B6DB2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{</m:t>
                </m:r>
                <m:r>
                  <m:t>2012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2021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H</m:t>
                    </m:r>
                  </m:e>
                  <m:sub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l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{</m:t>
                </m:r>
                <m:r>
                  <m:t>2013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2021</m:t>
                </m:r>
                <m:r>
                  <m:rPr>
                    <m:sty m:val="p"/>
                  </m:rPr>
                  <m:t>}</m:t>
                </m:r>
              </m:oMath>
            </m:oMathPara>
          </w:p>
          <w:p w14:paraId="011C0EC7" w14:textId="77777777" w:rsidR="009C6BE0" w:rsidRPr="006B6DB2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{</m:t>
                </m:r>
                <m:r>
                  <m:t>2022</m:t>
                </m:r>
                <m:r>
                  <m:rPr>
                    <m:sty m:val="p"/>
                  </m:rPr>
                  <m:t>,</m:t>
                </m:r>
                <m:r>
                  <m:t>2023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T</m:t>
                    </m:r>
                  </m:e>
                  <m:sub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j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{</m:t>
                </m:r>
                <m:r>
                  <m:t>2024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2030</m:t>
                </m:r>
                <m:r>
                  <m:rPr>
                    <m:sty m:val="p"/>
                  </m:rPr>
                  <m:t>}</m:t>
                </m:r>
              </m:oMath>
            </m:oMathPara>
          </w:p>
        </w:tc>
        <w:tc>
          <w:tcPr>
            <w:tcW w:w="6558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C6FA8CF" w14:textId="77777777" w:rsidR="009C6BE0" w:rsidRPr="006B6DB2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Uses historical information through 2021 for ML fitting and lag construction; calibration/recovery evaluation uses 2013–2021. The strict terminal holdout is 2022–2023 and policy projection is 2024–2030.</w:t>
            </w:r>
          </w:p>
        </w:tc>
      </w:tr>
      <w:tr w:rsidR="009C6BE0" w:rsidRPr="006B6DB2" w14:paraId="7DD43499" w14:textId="77777777" w:rsidTr="008D02D4">
        <w:trPr>
          <w:cantSplit/>
          <w:jc w:val="center"/>
        </w:trPr>
        <w:tc>
          <w:tcPr>
            <w:tcW w:w="4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44D5007" w14:textId="77777777" w:rsidR="009C6BE0" w:rsidRPr="006B6DB2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6B6DB2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R6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503EDEA" w14:textId="77777777" w:rsidR="009C6BE0" w:rsidRPr="006B6DB2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6B6DB2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Lagged admissible feature construction</w:t>
            </w:r>
          </w:p>
        </w:tc>
        <w:tc>
          <w:tcPr>
            <w:tcW w:w="650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2CB0DE3" w14:textId="77777777" w:rsidR="009C6BE0" w:rsidRPr="006B6DB2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ϕ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H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r</m:t>
                    </m:r>
                  </m:sub>
                </m:sSub>
                <m:r>
                  <w:rPr>
                    <w:rFonts w:ascii="Times New Roman" w:hAnsi="Times New Roman" w:cstheme="majorBidi"/>
                    <w:szCs w:val="16"/>
                  </w:rPr>
                  <m:t>​</m:t>
                </m:r>
                <m:d>
                  <m:d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{</m:t>
                    </m:r>
                    <m:sSub>
                      <m:sSub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Cs w:val="16"/>
                          </w:rPr>
                          <m:t>,</m:t>
                        </m:r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s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Cs w:val="16"/>
                          </w:rPr>
                          <m:t>}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Cs w:val="16"/>
                          </w:rPr>
                          <m:t>=</m:t>
                        </m:r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Cs w:val="16"/>
                          </w:rPr>
                          <m:t>-</m:t>
                        </m:r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q</m:t>
                        </m:r>
                      </m:sub>
                      <m:sup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Cs w:val="16"/>
                          </w:rPr>
                          <m:t>-</m:t>
                        </m:r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1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,{</m:t>
                    </m:r>
                    <m:sSub>
                      <m:sSub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U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Cs w:val="16"/>
                          </w:rPr>
                          <m:t>,</m:t>
                        </m:r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s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Cs w:val="16"/>
                          </w:rPr>
                          <m:t>}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Cs w:val="16"/>
                          </w:rPr>
                          <m:t>=</m:t>
                        </m:r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Cs w:val="16"/>
                          </w:rPr>
                          <m:t>-</m:t>
                        </m:r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q</m:t>
                        </m:r>
                      </m:sub>
                      <m:sup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t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sSub>
                      <m:sSub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Z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m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Cs w:val="16"/>
                          </w:rPr>
                          <m:t>,</m:t>
                        </m:r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Cs w:val="16"/>
                          </w:rPr>
                          <m:t>,</m:t>
                        </m:r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Cs w:val="16"/>
                          </w:rPr>
                          <m:t>,</m:t>
                        </m:r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s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 q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∈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Q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6558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2E09C2E" w14:textId="77777777" w:rsidR="009C6BE0" w:rsidRPr="006B6DB2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6B6DB2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Constructs predictors only from admissible lagged states and exogenous history; q follows the mode- and region-specific lookback set defined in S1.</w:t>
            </w:r>
          </w:p>
        </w:tc>
      </w:tr>
      <w:tr w:rsidR="009C6BE0" w:rsidRPr="006B6DB2" w14:paraId="6A4C775A" w14:textId="77777777" w:rsidTr="008D02D4">
        <w:trPr>
          <w:cantSplit/>
          <w:jc w:val="center"/>
        </w:trPr>
        <w:tc>
          <w:tcPr>
            <w:tcW w:w="4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0F2D203" w14:textId="77777777" w:rsidR="009C6BE0" w:rsidRPr="006B6DB2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6B6DB2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R7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E6F9462" w14:textId="77777777" w:rsidR="009C6BE0" w:rsidRPr="006B6DB2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6B6DB2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Lag buffer initialization</w:t>
            </w:r>
          </w:p>
        </w:tc>
        <w:tc>
          <w:tcPr>
            <w:tcW w:w="650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99C3E87" w14:textId="77777777" w:rsidR="009C6BE0" w:rsidRPr="006B6DB2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b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sSub>
                      <m:sSub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t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0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={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z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sSub>
                      <m:sSub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t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0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,…,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z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sSub>
                      <m:sSub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t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L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Cs w:val="16"/>
                          </w:rPr>
                          <m:t>-</m:t>
                        </m:r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1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}</m:t>
                </m:r>
              </m:oMath>
            </m:oMathPara>
          </w:p>
        </w:tc>
        <w:tc>
          <w:tcPr>
            <w:tcW w:w="6558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Initializes lagged variables only from admissible historical records, specified initial values, or previously committed simulated states. Training rows without the required lag history are excluded.</w:t>
            </w:r>
          </w:p>
        </w:tc>
      </w:tr>
      <w:tr w:rsidR="009C6BE0" w:rsidRPr="006B6DB2" w14:paraId="37F8FB21" w14:textId="77777777" w:rsidTr="008D02D4">
        <w:trPr>
          <w:cantSplit/>
          <w:jc w:val="center"/>
        </w:trPr>
        <w:tc>
          <w:tcPr>
            <w:tcW w:w="4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28BAE76" w14:textId="77777777" w:rsidR="009C6BE0" w:rsidRPr="006B6DB2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6B6DB2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R8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Fixed feature set</w:t>
            </w:r>
          </w:p>
        </w:tc>
        <w:tc>
          <w:tcPr>
            <w:tcW w:w="650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83EA03C" w14:textId="77777777" w:rsidR="009C6BE0" w:rsidRPr="006B6DB2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sSubSup>
                  <m:e>
                    <m:r>
                      <m:t>S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x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d</m:t>
                    </m:r>
                  </m:sup>
                </m:sSubSup>
              </m:oMath>
            </m:oMathPara>
          </w:p>
        </w:tc>
        <w:tc>
          <w:tcPr>
            <w:tcW w:w="6558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Feature lists are fixed before terminal evaluation and remain unchanged during validation and projection.</w:t>
            </w:r>
          </w:p>
        </w:tc>
      </w:tr>
      <w:tr w:rsidR="009C6BE0" w:rsidRPr="006B6DB2" w14:paraId="258791E5" w14:textId="77777777" w:rsidTr="008D02D4">
        <w:trPr>
          <w:cantSplit/>
          <w:jc w:val="center"/>
        </w:trPr>
        <w:tc>
          <w:tcPr>
            <w:tcW w:w="4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5C6EE76" w14:textId="77777777" w:rsidR="009C6BE0" w:rsidRPr="006B6DB2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6B6DB2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R9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BB71E07" w14:textId="77777777" w:rsidR="009C6BE0" w:rsidRPr="006B6DB2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6B6DB2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Offline surrogate training</w:t>
            </w:r>
          </w:p>
        </w:tc>
        <w:tc>
          <w:tcPr>
            <w:tcW w:w="650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B07C15E" w14:textId="77777777" w:rsidR="009C6BE0" w:rsidRPr="006B6DB2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Sup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f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⋆</m:t>
                    </m:r>
                  </m:sup>
                </m:sSubSup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=arg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min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∈</m:t>
                    </m:r>
                    <m:sSub>
                      <m:sSub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sSubPr>
                      <m:e>
                        <m:r>
                          <m:rPr>
                            <m:scr m:val="script"/>
                            <m:sty m:val="p"/>
                          </m:rPr>
                          <w:rPr>
                            <w:rFonts w:ascii="Times New Roman" w:hAnsi="Times New Roman" w:cstheme="majorBidi"/>
                            <w:szCs w:val="16"/>
                          </w:rPr>
                          <m:t>F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i</m:t>
                        </m:r>
                      </m:sub>
                    </m:sSub>
                  </m:sub>
                </m:sSub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naryPr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∈</m:t>
                    </m:r>
                    <m:sSub>
                      <m:sSub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sSubPr>
                      <m:e>
                        <m:r>
                          <m:rPr>
                            <m:scr m:val="script"/>
                            <m:sty m:val="p"/>
                          </m:rPr>
                          <w:rPr>
                            <w:rFonts w:ascii="Times New Roman" w:hAnsi="Times New Roman" w:cstheme="majorBidi"/>
                            <w:szCs w:val="16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Cs w:val="16"/>
                          </w:rPr>
                          <m:t>fit</m:t>
                        </m:r>
                      </m:sub>
                    </m:sSub>
                  </m:sub>
                  <m:sup>
                    <m:r>
                      <w:rPr>
                        <w:rFonts w:ascii="Times New Roman" w:hAnsi="Times New Roman" w:cstheme="majorBidi"/>
                        <w:szCs w:val="16"/>
                      </w:rPr>
                      <m:t>​</m:t>
                    </m:r>
                  </m:sup>
                  <m:e>
                    <m:r>
                      <m:rPr>
                        <m:scr m:val="script"/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L</m:t>
                    </m:r>
                  </m:e>
                </m:nary>
                <m:r>
                  <w:rPr>
                    <w:rFonts w:ascii="Times New Roman" w:hAnsi="Times New Roman" w:cstheme="majorBidi"/>
                    <w:szCs w:val="16"/>
                  </w:rPr>
                  <m:t>​</m:t>
                </m:r>
                <m:d>
                  <m:d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d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f</m:t>
                    </m:r>
                    <m:d>
                      <m:d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Times New Roman" w:hAnsi="Times New Roman" w:cstheme="majorBidi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ϕ</m:t>
                            </m:r>
                          </m:e>
                          <m:sub>
                            <m: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i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,</m:t>
                            </m:r>
                            <m: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t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sSub>
                      <m:sSub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y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Cs w:val="16"/>
                          </w:rPr>
                          <m:t>,</m:t>
                        </m:r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t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6558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3921049" w14:textId="77777777" w:rsidR="009C6BE0" w:rsidRPr="006B6DB2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6B6DB2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Trains </w:t>
            </w:r>
            <m:oMath>
              <m:r>
                <w:rPr>
                  <w:rFonts w:ascii="Times New Roman" w:hAnsi="Times New Roman" w:cstheme="majorBidi"/>
                  <w:szCs w:val="16"/>
                </w:rPr>
                <m:t>ML</m:t>
              </m:r>
            </m:oMath>
            <w:r w:rsidRPr="006B6DB2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 agents offline on historical records only.</w:t>
            </w:r>
          </w:p>
        </w:tc>
      </w:tr>
      <w:tr w:rsidR="009C6BE0" w:rsidRPr="006B6DB2" w14:paraId="02A5E3C1" w14:textId="77777777" w:rsidTr="008D02D4">
        <w:trPr>
          <w:cantSplit/>
          <w:jc w:val="center"/>
        </w:trPr>
        <w:tc>
          <w:tcPr>
            <w:tcW w:w="4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CF4BBB5" w14:textId="77777777" w:rsidR="009C6BE0" w:rsidRPr="006B6DB2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6B6DB2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R10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Fixed hyperparameters</w:t>
            </w:r>
          </w:p>
        </w:tc>
        <w:tc>
          <w:tcPr>
            <w:tcW w:w="650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78FB87D" w14:textId="77777777" w:rsidR="009C6BE0" w:rsidRPr="006B6DB2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Sup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η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serve</m:t>
                    </m:r>
                  </m:sup>
                </m:sSubSup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</m:t>
                </m:r>
                <m:sSubSup>
                  <m:sSub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Sup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η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fixed</m:t>
                    </m:r>
                  </m:sup>
                </m:sSubSup>
              </m:oMath>
            </m:oMathPara>
          </w:p>
        </w:tc>
        <w:tc>
          <w:tcPr>
            <w:tcW w:w="6558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Uses the fixed GBDT settings reported in Table S5; hyperparameters are not reselected during validation or projection.</w:t>
            </w:r>
          </w:p>
        </w:tc>
      </w:tr>
      <w:tr w:rsidR="009C6BE0" w:rsidRPr="006B6DB2" w14:paraId="5ACE78C1" w14:textId="77777777" w:rsidTr="008D02D4">
        <w:trPr>
          <w:cantSplit/>
          <w:jc w:val="center"/>
        </w:trPr>
        <w:tc>
          <w:tcPr>
            <w:tcW w:w="4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11F09DA" w14:textId="77777777" w:rsidR="009C6BE0" w:rsidRPr="006B6DB2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6B6DB2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R11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Train-serve consistency</w:t>
            </w:r>
          </w:p>
        </w:tc>
        <w:tc>
          <w:tcPr>
            <w:tcW w:w="650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DD18A05" w14:textId="77777777" w:rsidR="009C6BE0" w:rsidRPr="006B6DB2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Sup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η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train</m:t>
                    </m:r>
                  </m:sup>
                </m:sSubSup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</m:t>
                </m:r>
                <m:sSubSup>
                  <m:sSub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Sup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η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serve</m:t>
                    </m:r>
                  </m:sup>
                </m:sSubSup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</m:t>
                </m:r>
                <m:sSubSup>
                  <m:sSub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Sup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η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fixed</m:t>
                    </m:r>
                  </m:sup>
                </m:sSubSup>
              </m:oMath>
            </m:oMathPara>
          </w:p>
        </w:tc>
        <w:tc>
          <w:tcPr>
            <w:tcW w:w="6558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Uses the same feature definitions and fitted model settings in offline fitting and closed-loop serving.</w:t>
            </w:r>
          </w:p>
        </w:tc>
      </w:tr>
      <w:tr w:rsidR="009C6BE0" w:rsidRPr="006B6DB2" w14:paraId="24B59DB4" w14:textId="77777777" w:rsidTr="008D02D4">
        <w:trPr>
          <w:cantSplit/>
          <w:jc w:val="center"/>
        </w:trPr>
        <w:tc>
          <w:tcPr>
            <w:tcW w:w="4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DFB62D3" w14:textId="77777777" w:rsidR="009C6BE0" w:rsidRPr="006B6DB2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6B6DB2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R12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00B02E7" w14:textId="77777777" w:rsidR="009C6BE0" w:rsidRPr="006B6DB2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6B6DB2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Exogenous replay in hindcast</w:t>
            </w:r>
          </w:p>
        </w:tc>
        <w:tc>
          <w:tcPr>
            <w:tcW w:w="650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17B5858" w14:textId="77777777" w:rsidR="009C6BE0" w:rsidRPr="006B6DB2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Sup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IN</m:t>
                    </m:r>
                  </m:sup>
                </m:sSubSup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←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D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 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type</m:t>
                </m:r>
                <m:d>
                  <m:d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d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i</m:t>
                    </m:r>
                  </m:e>
                </m:d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=IN,</m:t>
                </m:r>
                <m:r>
                  <w:rPr>
                    <w:rFonts w:ascii="Times New Roman" w:hAnsi="Times New Roman" w:cstheme="majorBidi"/>
                    <w:szCs w:val="16"/>
                  </w:rPr>
                  <m:t> t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∈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hist</m:t>
                    </m:r>
                  </m:sub>
                </m:sSub>
              </m:oMath>
            </m:oMathPara>
          </w:p>
        </w:tc>
        <w:tc>
          <w:tcPr>
            <w:tcW w:w="6558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3F90EB3" w14:textId="77777777" w:rsidR="009C6BE0" w:rsidRPr="006B6DB2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6B6DB2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Historical observations may support supervised fitting and admissible initialization. During terminal validation and projection, observed endogenous outcomes do not replace simulated endogenous states.</w:t>
            </w:r>
          </w:p>
        </w:tc>
      </w:tr>
      <w:tr w:rsidR="009C6BE0" w:rsidRPr="006B6DB2" w14:paraId="5F7EC2EF" w14:textId="77777777" w:rsidTr="008D02D4">
        <w:trPr>
          <w:cantSplit/>
          <w:jc w:val="center"/>
        </w:trPr>
        <w:tc>
          <w:tcPr>
            <w:tcW w:w="4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66FD077" w14:textId="77777777" w:rsidR="009C6BE0" w:rsidRPr="006B6DB2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6B6DB2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R13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Projection observation rule</w:t>
            </w:r>
          </w:p>
        </w:tc>
        <w:tc>
          <w:tcPr>
            <w:tcW w:w="650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F16155E" w14:textId="77777777" w:rsidR="009C6BE0" w:rsidRPr="006B6DB2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truth,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=⌀,</m:t>
                </m:r>
                <m:r>
                  <w:rPr>
                    <w:rFonts w:ascii="Times New Roman" w:hAnsi="Times New Roman" w:cstheme="majorBidi"/>
                    <w:szCs w:val="16"/>
                  </w:rPr>
                  <m:t> t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∉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hist</m:t>
                    </m:r>
                  </m:sub>
                </m:sSub>
              </m:oMath>
            </m:oMathPara>
          </w:p>
        </w:tc>
        <w:tc>
          <w:tcPr>
            <w:tcW w:w="6558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Future observed endogenous outcomes are unavailable to the simulator during projection.</w:t>
            </w:r>
          </w:p>
        </w:tc>
      </w:tr>
      <w:tr w:rsidR="009C6BE0" w:rsidRPr="006B6DB2" w14:paraId="72BE4495" w14:textId="77777777" w:rsidTr="008D02D4">
        <w:trPr>
          <w:cantSplit/>
          <w:jc w:val="center"/>
        </w:trPr>
        <w:tc>
          <w:tcPr>
            <w:tcW w:w="4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D092378" w14:textId="77777777" w:rsidR="009C6BE0" w:rsidRPr="006B6DB2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6B6DB2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R14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2A26181" w14:textId="77777777" w:rsidR="009C6BE0" w:rsidRPr="006B6DB2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6B6DB2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Scenario overlay application</w:t>
            </w:r>
          </w:p>
        </w:tc>
        <w:tc>
          <w:tcPr>
            <w:tcW w:w="650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A833A1A" w14:textId="77777777" w:rsidR="009C6BE0" w:rsidRPr="006B6DB2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SupPr>
                  <m:e>
                    <m:acc>
                      <m:accPr>
                        <m:chr m:val="̃"/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</m:sub>
                  <m:sup>
                    <m:d>
                      <m:d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s</m:t>
                        </m:r>
                      </m:e>
                    </m:d>
                  </m:sup>
                </m:sSubSup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</m:t>
                </m:r>
                <m:sSubSup>
                  <m:sSub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SupPr>
                  <m:e>
                    <m:r>
                      <m:rPr>
                        <m:scr m:val="script"/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M</m:t>
                    </m:r>
                  </m:sub>
                  <m:sup>
                    <m:d>
                      <m:d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s</m:t>
                        </m:r>
                      </m:e>
                    </m:d>
                  </m:sup>
                </m:sSubSup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∘⋯∘</m:t>
                </m:r>
                <m:sSubSup>
                  <m:sSub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SupPr>
                  <m:e>
                    <m:r>
                      <m:rPr>
                        <m:scr m:val="script"/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1</m:t>
                    </m:r>
                  </m:sub>
                  <m:sup>
                    <m:d>
                      <m:d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s</m:t>
                        </m:r>
                      </m:e>
                    </m:d>
                  </m:sup>
                </m:sSubSup>
                <m:d>
                  <m:d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t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Times New Roman" w:hAnsi="Times New Roman" w:cstheme="majorBidi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s</m:t>
                            </m:r>
                          </m:e>
                        </m:d>
                      </m:sup>
                    </m:sSub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sSubSup>
                      <m:sSubSup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U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t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Times New Roman" w:hAnsi="Times New Roman" w:cstheme="majorBidi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s</m:t>
                            </m:r>
                          </m:e>
                        </m:d>
                      </m:sup>
                    </m:sSubSup>
                  </m:e>
                </m:d>
              </m:oMath>
            </m:oMathPara>
          </w:p>
        </w:tc>
        <w:tc>
          <w:tcPr>
            <w:tcW w:w="6558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758BFAF" w14:textId="77777777" w:rsidR="009C6BE0" w:rsidRPr="006B6DB2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6B6DB2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Applies declared scenario overlays to policy-sensitive variables and projection schedules before the annual state update.</w:t>
            </w:r>
          </w:p>
        </w:tc>
      </w:tr>
      <w:tr w:rsidR="009C6BE0" w:rsidRPr="006B6DB2" w14:paraId="4E59FC05" w14:textId="77777777" w:rsidTr="008D02D4">
        <w:trPr>
          <w:cantSplit/>
          <w:jc w:val="center"/>
        </w:trPr>
        <w:tc>
          <w:tcPr>
            <w:tcW w:w="4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85A082F" w14:textId="77777777" w:rsidR="009C6BE0" w:rsidRPr="006B6DB2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6B6DB2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R15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0F8B6E3" w14:textId="77777777" w:rsidR="009C6BE0" w:rsidRPr="006B6DB2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6B6DB2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Dependency-resolved closed-loop update</w:t>
            </w:r>
          </w:p>
        </w:tc>
        <w:tc>
          <w:tcPr>
            <w:tcW w:w="650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08CE4B3" w14:textId="77777777" w:rsidR="009C6BE0" w:rsidRPr="006B6DB2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Sup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+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1</m:t>
                    </m:r>
                  </m:sub>
                  <m:sup>
                    <m:d>
                      <m:d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s</m:t>
                        </m:r>
                      </m:e>
                    </m:d>
                  </m:sup>
                </m:sSubSup>
                <m:r>
                  <m:rPr>
                    <m:scr m:val="script"/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=S</m:t>
                </m:r>
                <m:d>
                  <m:d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ascii="Times New Roman" w:hAnsi="Times New Roman" w:cstheme="majorBidi"/>
                                <w:szCs w:val="16"/>
                              </w:rPr>
                            </m:ctrlPr>
                          </m:accPr>
                          <m:e>
                            <m: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t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Times New Roman" w:hAnsi="Times New Roman" w:cstheme="majorBidi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s</m:t>
                            </m:r>
                          </m:e>
                        </m:d>
                      </m:sup>
                    </m:sSub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sSubSup>
                      <m:sSubSup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U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t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Times New Roman" w:hAnsi="Times New Roman" w:cstheme="majorBidi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s</m:t>
                            </m:r>
                          </m:e>
                        </m:d>
                      </m:sup>
                    </m:sSub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Δt</m:t>
                    </m:r>
                  </m:e>
                </m:d>
              </m:oMath>
            </m:oMathPara>
          </w:p>
        </w:tc>
        <w:tc>
          <w:tcPr>
            <w:tcW w:w="6558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82E96C0" w14:textId="77777777" w:rsidR="009C6BE0" w:rsidRPr="006B6DB2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6B6DB2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Evaluates the shared-state dependency graph under the annual update logic.</w:t>
            </w:r>
          </w:p>
        </w:tc>
      </w:tr>
      <w:tr w:rsidR="009C6BE0" w:rsidRPr="006B6DB2" w14:paraId="437A718C" w14:textId="77777777" w:rsidTr="008D02D4">
        <w:trPr>
          <w:cantSplit/>
          <w:jc w:val="center"/>
        </w:trPr>
        <w:tc>
          <w:tcPr>
            <w:tcW w:w="4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D263576" w14:textId="77777777" w:rsidR="009C6BE0" w:rsidRPr="006B6DB2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6B6DB2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R16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Cycle handling</w:t>
            </w:r>
          </w:p>
        </w:tc>
        <w:tc>
          <w:tcPr>
            <w:tcW w:w="650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6F66CC8" w14:textId="77777777" w:rsidR="009C6BE0" w:rsidRPr="006B6DB2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π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SCC</m:t>
                    </m:r>
                  </m:sub>
                </m:sSub>
                <m:d>
                  <m:d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d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G</m:t>
                    </m:r>
                  </m:e>
                </m:d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 xml:space="preserve"> </m:t>
                </m:r>
                <m:sSup>
                  <m:s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p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x</m:t>
                    </m:r>
                  </m:e>
                  <m:sup>
                    <m:r>
                      <w:rPr>
                        <w:rFonts w:ascii="Times New Roman" w:hAnsi="Times New Roman" w:cstheme="majorBidi"/>
                        <w:szCs w:val="16"/>
                      </w:rPr>
                      <m:t>q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+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1</m:t>
                    </m:r>
                  </m:sup>
                </m:sSup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</m:t>
                </m:r>
                <m:r>
                  <w:rPr>
                    <w:rFonts w:ascii="Times New Roman" w:hAnsi="Times New Roman" w:cstheme="majorBidi"/>
                    <w:szCs w:val="16"/>
                  </w:rPr>
                  <m:t>Φ</m:t>
                </m:r>
                <m:d>
                  <m:d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x</m:t>
                        </m:r>
                      </m:e>
                      <m:sup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q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6558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Fixed-point iteration is available if a within-year dependency cycle is detected. The reported Tehran graph is acyclic, so one dependency-ordered evaluation is sufficient.</w:t>
            </w:r>
          </w:p>
        </w:tc>
      </w:tr>
      <w:tr w:rsidR="009C6BE0" w:rsidRPr="006B6DB2" w14:paraId="0106B015" w14:textId="77777777" w:rsidTr="008D02D4">
        <w:trPr>
          <w:cantSplit/>
          <w:jc w:val="center"/>
        </w:trPr>
        <w:tc>
          <w:tcPr>
            <w:tcW w:w="4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B62F0C2" w14:textId="77777777" w:rsidR="009C6BE0" w:rsidRPr="006B6DB2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6B6DB2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R17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DBB27B5" w14:textId="77777777" w:rsidR="009C6BE0" w:rsidRPr="006B6DB2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6B6DB2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Parameter provenance, historical reconstruction, and recovery boundary</w:t>
            </w:r>
          </w:p>
        </w:tc>
        <w:tc>
          <w:tcPr>
            <w:tcW w:w="650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FEF0D70" w14:textId="77777777" w:rsidR="009C6BE0" w:rsidRPr="006B6DB2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p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ϑ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*</m:t>
                    </m:r>
                  </m:sup>
                </m:sSup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=arg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min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ϑ</m:t>
                    </m:r>
                    <m:r>
                      <m:rPr>
                        <m:scr m:val="script"/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∈V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dPr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naryPr>
                      <m:sub>
                        <m:sSub>
                          <m:sSubPr>
                            <m:ctrlPr>
                              <w:rPr>
                                <w:rFonts w:ascii="Times New Roman" w:hAnsi="Times New Roman" w:cstheme="majorBidi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c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Cs w:val="16"/>
                          </w:rPr>
                          <m:t>∈</m:t>
                        </m:r>
                        <m:sSub>
                          <m:sSubPr>
                            <m:ctrlPr>
                              <w:rPr>
                                <w:rFonts w:ascii="Times New Roman" w:hAnsi="Times New Roman" w:cstheme="majorBidi"/>
                                <w:szCs w:val="16"/>
                              </w:rPr>
                            </m:ctrlPr>
                          </m:sSubPr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cal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​</m:t>
                        </m:r>
                      </m:sup>
                      <m:e>
                        <m:sSubSup>
                          <m:sSubSupPr>
                            <m:ctrlPr>
                              <w:rPr>
                                <w:rFonts w:ascii="Times New Roman" w:hAnsi="Times New Roman" w:cstheme="majorBidi"/>
                                <w:szCs w:val="16"/>
                              </w:rPr>
                            </m:ctrlPr>
                          </m:sSubSupPr>
                          <m:e>
                            <m: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w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Times New Roman" w:hAnsi="Times New Roman" w:cstheme="majorBidi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Times New Roman" w:hAnsi="Times New Roman" w:cstheme="majorBidi"/>
                                    <w:szCs w:val="16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Times New Roman" w:hAnsi="Times New Roman" w:cstheme="majorBidi"/>
                                    <w:szCs w:val="16"/>
                                  </w:rPr>
                                  <m:t>c</m:t>
                                </m:r>
                              </m:sub>
                            </m:sSub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cal</m:t>
                            </m:r>
                          </m:sup>
                        </m:sSubSup>
                      </m:e>
                    </m:nary>
                    <m:sSub>
                      <m:sSub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L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Times New Roman" w:hAnsi="Times New Roman" w:cstheme="majorBidi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c</m:t>
                            </m:r>
                          </m:sub>
                        </m:sSub>
                      </m:sub>
                    </m:sSub>
                    <m:d>
                      <m:d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ϑ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+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λΩ</m:t>
                    </m:r>
                    <m:d>
                      <m:d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ϑ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+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γΨ</m:t>
                    </m:r>
                    <m:d>
                      <m:d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ϑ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6558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0E374DB" w14:textId="77777777" w:rsidR="009C6BE0" w:rsidRPr="006B6DB2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6B6DB2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 xml:space="preserve">Local recovery over </w:t>
            </w:r>
            <w:r w:rsidRPr="006B6DB2">
              <w:rPr>
                <w:rFonts w:ascii="Times New Roman" w:hAnsi="Times New Roman" w:cs="Times New Roman" w:eastAsia="Times New Roman"/>
                <w:color w:val="000000"/>
                <w:sz w:val="16"/>
                <w:szCs w:val="16"/>
              </w:rPr>
              <w:t>𝒱</w:t>
            </w:r>
            <w:r w:rsidRPr="006B6DB2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 xml:space="preserve"> combines weighted historical fit across the seven calibration target domains, standardized displacement regularization, and a modal-closure stability penalty. It does not re-fit the full model.</w:t>
            </w:r>
          </w:p>
        </w:tc>
      </w:tr>
      <w:tr w:rsidR="009C6BE0" w:rsidRPr="006B6DB2" w14:paraId="3BF5BC98" w14:textId="77777777" w:rsidTr="008D02D4">
        <w:trPr>
          <w:cantSplit/>
          <w:jc w:val="center"/>
        </w:trPr>
        <w:tc>
          <w:tcPr>
            <w:tcW w:w="4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89DC3C8" w14:textId="77777777" w:rsidR="009C6BE0" w:rsidRPr="006B6DB2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6B6DB2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R18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76CCBAA" w14:textId="77777777" w:rsidR="009C6BE0" w:rsidRPr="006B6DB2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6B6DB2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Terminal holdout validation metrics</w:t>
            </w:r>
          </w:p>
        </w:tc>
        <w:tc>
          <w:tcPr>
            <w:tcW w:w="650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3CE0F74" w14:textId="77777777" w:rsidR="009C6BE0" w:rsidRPr="006B6DB2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6B6DB2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RMSE, MAE, R²</w:t>
            </w:r>
          </w:p>
        </w:tc>
        <w:tc>
          <w:tcPr>
            <w:tcW w:w="6558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3338EB0" w14:textId="77777777" w:rsidR="009C6BE0" w:rsidRPr="006B6DB2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Evaluates closed-loop reconstruction on temporally ordered holdout periods; pooled metrics are the primary scorecard.</w:t>
            </w:r>
          </w:p>
        </w:tc>
      </w:tr>
      <w:tr w:rsidR="009C6BE0" w:rsidRPr="006B6DB2" w14:paraId="3E828C30" w14:textId="77777777" w:rsidTr="008D02D4">
        <w:trPr>
          <w:cantSplit/>
          <w:jc w:val="center"/>
        </w:trPr>
        <w:tc>
          <w:tcPr>
            <w:tcW w:w="4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D50F812" w14:textId="77777777" w:rsidR="009C6BE0" w:rsidRPr="006B6DB2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6B6DB2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R19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Trajectory retention</w:t>
            </w:r>
          </w:p>
        </w:tc>
        <w:tc>
          <w:tcPr>
            <w:tcW w:w="650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5028E94" w14:textId="77777777" w:rsidR="009C6BE0" w:rsidRPr="006B6DB2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p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Y</m:t>
                    </m:r>
                  </m:e>
                  <m:sup>
                    <m:d>
                      <m:d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s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={</m:t>
                </m:r>
                <m:sSubSup>
                  <m:sSub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Sup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X</m:t>
                    </m:r>
                  </m:e>
                  <m:sub>
                    <m:sSub>
                      <m:sSub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t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0</m:t>
                        </m:r>
                      </m:sub>
                    </m:sSub>
                  </m:sub>
                  <m:sup>
                    <m:d>
                      <m:d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s</m:t>
                        </m:r>
                      </m:e>
                    </m:d>
                  </m:sup>
                </m:sSubSup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,…,</m:t>
                </m:r>
                <m:sSubSup>
                  <m:sSub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Sup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X</m:t>
                    </m:r>
                  </m:e>
                  <m:sub>
                    <m:sSub>
                      <m:sSub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t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Cs w:val="16"/>
                          </w:rPr>
                          <m:t>-</m:t>
                        </m:r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1</m:t>
                        </m:r>
                      </m:sub>
                    </m:sSub>
                  </m:sub>
                  <m:sup>
                    <m:d>
                      <m:d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s</m:t>
                        </m:r>
                      </m:e>
                    </m:d>
                  </m:sup>
                </m:sSubSup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}</m:t>
                </m:r>
              </m:oMath>
            </m:oMathPara>
          </w:p>
        </w:tc>
        <w:tc>
          <w:tcPr>
            <w:tcW w:w="6558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Retains committed annual trajectories for KPI summaries, figures, scenario comparison, and decision synthesis.</w:t>
            </w:r>
          </w:p>
        </w:tc>
      </w:tr>
    </w:tbl>
    <w:p w14:paraId="3148DB24" w14:textId="77777777" w:rsidR="009C6BE0" w:rsidRPr="006B6DB2" w:rsidRDefault="009C6BE0">
      <w:pPr>
        <w:keepNext w:val="0"/>
        <w:spacing w:line="240" w:lineRule="auto" w:after="40"/>
        <w:rPr>
          <w:rFonts w:asciiTheme="majorBidi" w:hAnsiTheme="majorBidi" w:cstheme="majorBidi"/>
          <w:szCs w:val="16"/>
        </w:rPr>
      </w:pPr>
    </w:p>
    <w:sectPr w:rsidR="009C6BE0" w:rsidRPr="006B6DB2">
      <w:pgSz w:w="16838" w:h="11906" w:orient="landscape"/>
      <w:pgMar w:top="605" w:right="605" w:bottom="605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1936407">
    <w:abstractNumId w:val="8"/>
  </w:num>
  <w:num w:numId="2" w16cid:durableId="566377761">
    <w:abstractNumId w:val="6"/>
  </w:num>
  <w:num w:numId="3" w16cid:durableId="51272424">
    <w:abstractNumId w:val="5"/>
  </w:num>
  <w:num w:numId="4" w16cid:durableId="449015509">
    <w:abstractNumId w:val="4"/>
  </w:num>
  <w:num w:numId="5" w16cid:durableId="503473507">
    <w:abstractNumId w:val="7"/>
  </w:num>
  <w:num w:numId="6" w16cid:durableId="520360627">
    <w:abstractNumId w:val="3"/>
  </w:num>
  <w:num w:numId="7" w16cid:durableId="317081175">
    <w:abstractNumId w:val="2"/>
  </w:num>
  <w:num w:numId="8" w16cid:durableId="1761288988">
    <w:abstractNumId w:val="1"/>
  </w:num>
  <w:num w:numId="9" w16cid:durableId="845709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6BE0"/>
    <w:rsid w:val="006B12A0"/>
    <w:rsid w:val="006B6DB2"/>
    <w:rsid w:val="008D02D4"/>
    <w:rsid w:val="009C6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837724"/>
  <w14:defaultImageDpi w14:val="300"/>
  <w15:docId w15:val="{326B432F-D83F-4EA1-8DC2-C40F113BA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 w:ascii="Times New Roman" w:hAnsi="Times New Roman" w:eastAsia="Times New Roman" w:cs="Times New Roman"/>
        <w:sz w:val="16"/>
        <w:szCs w:val="1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 w:eastAsia="Times New Roman" w:cs="Times New Roman"/>
      <w:color w:val="000000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724</Words>
  <Characters>4130</Characters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dcterms:created xsi:type="dcterms:W3CDTF">2026-01-01T00:00:00Z</dcterms:created>
  <dcterms:modified xsi:type="dcterms:W3CDTF">2026-08-17T02:05:00Z</dcterms:modified>
  <cp:category/>
</cp:coreProperties>
</file>