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40EB5" w14:textId="77777777" w:rsidR="007B7875" w:rsidRPr="00E209B5" w:rsidRDefault="00000000">
      <w:pPr>
        <w:keepNext/>
        <w:spacing w:after="80" w:line="240" w:lineRule="auto" w:before="0"/>
        <w:rPr>
          <w:rFonts w:asciiTheme="majorBidi" w:hAnsiTheme="majorBidi" w:cstheme="majorBidi"/>
          <w:szCs w:val="16"/>
        </w:rPr>
      </w:pPr>
      <w:r w:rsidRPr="00E209B5">
        <w:rPr>
          <w:rFonts w:asciiTheme="majorBidi" w:eastAsia="Times New Roman" w:hAnsiTheme="majorBidi" w:cstheme="majorBidi" w:ascii="Times New Roman" w:hAnsi="Times New Roman" w:cs="Times New Roman"/>
          <w:b/>
          <w:i w:val="0"/>
          <w:color w:val="000000"/>
          <w:sz w:val="18"/>
          <w:szCs w:val="16"/>
        </w:rPr>
        <w:t>Table S3. Agent families and governing relations</w:t>
      </w:r>
    </w:p>
    <w:p w14:paraId="02D540AD" w14:textId="77777777" w:rsidR="007B7875" w:rsidRPr="00E209B5" w:rsidRDefault="00000000">
      <w:pPr>
        <w:keepNext w:val="0"/>
        <w:spacing w:after="60" w:line="240" w:lineRule="auto" w:before="0"/>
        <w:jc w:val="both"/>
        <w:rPr>
          <w:rFonts w:asciiTheme="majorBidi" w:hAnsiTheme="majorBidi" w:cstheme="majorBidi"/>
          <w:szCs w:val="16"/>
        </w:rPr>
      </w:pPr>
      <w:r>
        <w:rPr>
          <w:rFonts w:ascii="Times New Roman" w:hAnsi="Times New Roman"/>
          <w:b w:val="0"/>
          <w:i/>
          <w:sz w:val="16"/>
        </w:rPr>
        <w:t>Note. Index sets follow Table S1. Scenario index s is shown on policy-sensitive or scenario-dependent quantities. These panels summarize the governing relations used in the shared-state simulation; decision-scoring identities are reported separately in Table S7.</w:t>
      </w:r>
    </w:p>
    <w:p w14:paraId="4A1ED755" w14:textId="77777777" w:rsidR="007B7875" w:rsidRPr="00E209B5" w:rsidRDefault="00000000">
      <w:pPr>
        <w:keepNext/>
        <w:spacing w:before="80" w:after="40" w:line="240" w:lineRule="auto"/>
        <w:rPr>
          <w:rFonts w:asciiTheme="majorBidi" w:hAnsiTheme="majorBidi" w:cstheme="majorBidi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A. Demand and modal behavior</w:t>
      </w:r>
    </w:p>
    <w:tbl>
      <w:tblPr>
        <w:tblStyle w:val="TableGrid"/>
        <w:tblW w:w="1530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708"/>
        <w:gridCol w:w="2188"/>
        <w:gridCol w:w="7121"/>
        <w:gridCol w:w="1201"/>
        <w:gridCol w:w="4091"/>
      </w:tblGrid>
      <w:tr w:rsidR="007B7875" w:rsidRPr="00E209B5" w14:paraId="6F619418" w14:textId="77777777">
        <w:trPr>
          <w:cantSplit/>
          <w:tblHeader w:val="true"/>
          <w:jc w:val="center"/>
        </w:trPr>
        <w:tc>
          <w:tcPr>
            <w:tcW w:w="72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1C37B159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R ID</w:t>
            </w:r>
          </w:p>
        </w:tc>
        <w:tc>
          <w:tcPr>
            <w:tcW w:w="2232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1F9B692B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Agent / relation</w:t>
            </w:r>
          </w:p>
        </w:tc>
        <w:tc>
          <w:tcPr>
            <w:tcW w:w="7272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281E5530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Formal relation</w:t>
            </w:r>
          </w:p>
        </w:tc>
        <w:tc>
          <w:tcPr>
            <w:tcW w:w="1224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2EB6DF9D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4176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Model role</w:t>
            </w:r>
          </w:p>
        </w:tc>
      </w:tr>
      <w:tr w:rsidR="007B7875" w:rsidRPr="00E209B5" w14:paraId="556D689D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D7B5EB9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0ED9860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Activity intensity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5FB8B6B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A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f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z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;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A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E205AF7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[-]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A4EA06E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Dimensionless macro-driven trip-propensity index; demand-moderation overlays enter through activity modifiers.</w:t>
            </w:r>
          </w:p>
        </w:tc>
      </w:tr>
      <w:tr w:rsidR="007B7875" w:rsidRPr="00E209B5" w14:paraId="6479DDF3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15321E7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R2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D489713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Annual effective trips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4D88CEA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e</m:t>
                    </m:r>
                    <m:r>
                      <m:t>f</m:t>
                    </m:r>
                    <m:r>
                      <m:t>f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  <m:sup>
                    <m:r>
                      <m:t>b</m:t>
                    </m:r>
                    <m:r>
                      <m:t>a</m:t>
                    </m:r>
                    <m:r>
                      <m:t>s</m:t>
                    </m:r>
                    <m:r>
                      <m:t>e</m:t>
                    </m:r>
                  </m:sup>
                </m:sSubSup>
                <m:r>
                  <m:t> </m:t>
                </m:r>
                <m:sSubSup>
                  <m:e>
                    <m:r>
                      <m:t>μ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d</m:t>
                    </m:r>
                    <m:r>
                      <m:t>e</m:t>
                    </m:r>
                    <m:r>
                      <m:t>m</m:t>
                    </m:r>
                  </m:sup>
                </m:sSubSup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2A2E51E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trips/year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E3C9055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Effective annual trips after the scenario-specific demand-management/telework multiplier; the underlying regional trip path is mapped or structurally generated before the overlay.</w:t>
            </w:r>
          </w:p>
        </w:tc>
      </w:tr>
      <w:tr w:rsidR="007B7875" w:rsidRPr="00E209B5" w14:paraId="444C3E25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244A1A6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R3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DFA2623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Mode-specific trips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095D578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S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sSubSup>
                  <m:e>
                    <m:r>
                      <m:t>T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e</m:t>
                    </m:r>
                    <m:r>
                      <m:t>f</m:t>
                    </m:r>
                    <m:r>
                      <m:t>f</m:t>
                    </m:r>
                  </m:sup>
                </m:sSubSup>
                <m:r>
                  <m:rPr>
                    <m:sty m:val="p"/>
                  </m:rPr>
                  <m:t>,</m:t>
                </m:r>
                <m:r>
                  <m:t>  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M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F2B44BF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trips/year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9F9194B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Conserves effective total trips after ABM attraction and modal-share normalization.</w:t>
            </w:r>
          </w:p>
        </w:tc>
      </w:tr>
      <w:tr w:rsidR="007B7875" w:rsidRPr="00E209B5" w14:paraId="090C1B9F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BF8DA7F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R4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4E317CC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ML modal prior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714C8E6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sSubSup>
                  <m:e>
                    <m:r>
                      <m:t>π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M</m:t>
                    </m:r>
                    <m:r>
                      <m:t>L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σ</m:t>
                </m:r>
                <m:r>
                  <m:t>​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Sup>
                      <m:e>
                        <m:r>
                          <m:t>f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r</m:t>
                        </m:r>
                      </m:sub>
                      <m:sup>
                        <m:r>
                          <m:t>G</m:t>
                        </m:r>
                        <m:r>
                          <m:t>B</m:t>
                        </m:r>
                        <m:r>
                          <m:t>D</m:t>
                        </m:r>
                        <m:r>
                          <m:t>T</m:t>
                        </m:r>
                      </m:sup>
                    </m:sSubSup>
                    <m:r>
                      <m:t>​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ϕ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s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r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0</m:t>
                </m:r>
                <m:r>
                  <m:rPr>
                    <m:sty m:val="p"/>
                  </m:rPr>
                  <m:t>≤</m:t>
                </m:r>
                <m:sSubSup>
                  <m:e>
                    <m:r>
                      <m:t>π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M</m:t>
                    </m:r>
                    <m:r>
                      <m:t>L</m:t>
                    </m:r>
                  </m:sup>
                </m:sSubSup>
                <m:r>
                  <m:rPr>
                    <m:sty m:val="p"/>
                  </m:rPr>
                  <m:t>≤</m:t>
                </m:r>
                <m:r>
                  <m:t>1</m:t>
                </m:r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36BE696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[-]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D79E9D3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Offline fitted modal prior from temporally admissible features; fixed serving controls are applied before ABM mediation (Table S5).</w:t>
            </w:r>
          </w:p>
        </w:tc>
      </w:tr>
      <w:tr w:rsidR="007B7875" w:rsidRPr="00E209B5" w14:paraId="1B6785C4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08C5FAE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R5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43F638A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Generalized cost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EDA69FE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G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Sup>
                  <m:e>
                    <m:r>
                      <m:t>C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m</m:t>
                    </m:r>
                    <m:r>
                      <m:t>o</m:t>
                    </m:r>
                    <m:r>
                      <m:t>n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t>V</m:t>
                </m:r>
                <m:r>
                  <m:t>O</m:t>
                </m:r>
                <m:sSub>
                  <m:e>
                    <m:r>
                      <m:t>T</m:t>
                    </m:r>
                  </m:e>
                  <m:sub>
                    <m:r>
                      <m:t>t</m:t>
                    </m:r>
                  </m:sub>
                </m:sSub>
                <m:r>
                  <m:t> </m:t>
                </m:r>
                <m:r>
                  <m:t>T</m:t>
                </m:r>
                <m:sSub>
                  <m:e>
                    <m:r>
                      <m:t>T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C210C56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IRR/trip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AE341FF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Interpretive decomposition of monetary, time, and policy/access signals; generalized cost is not an independently updated runtime state.</w:t>
            </w:r>
          </w:p>
        </w:tc>
      </w:tr>
      <w:tr w:rsidR="007B7875" w:rsidRPr="00E209B5" w14:paraId="209E9781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D837788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R6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78D999C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BRT within bus system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E4AE398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B</m:t>
                    </m:r>
                    <m:r>
                      <m:t>R</m:t>
                    </m:r>
                    <m:r>
                      <m:t>T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ω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B</m:t>
                    </m:r>
                    <m:r>
                      <m:t>R</m:t>
                    </m:r>
                    <m:r>
                      <m:t>T</m:t>
                    </m:r>
                  </m:sup>
                </m:sSubSup>
                <m:sSub>
                  <m:e>
                    <m:r>
                      <m:t>T</m:t>
                    </m:r>
                  </m:e>
                  <m:sub>
                    <m:r>
                      <m:t>b</m:t>
                    </m:r>
                    <m:r>
                      <m:t>u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A0A039A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trips/year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D390C6D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Represents BRT as a structural submode while preserving bus-level closure.</w:t>
            </w:r>
          </w:p>
        </w:tc>
      </w:tr>
    </w:tbl>
    <w:p w14:paraId="7F26E489" w14:textId="77777777" w:rsidR="007B7875" w:rsidRPr="00E209B5" w:rsidRDefault="007B7875">
      <w:pPr>
        <w:keepNext w:val="0"/>
        <w:spacing w:line="240" w:lineRule="auto" w:after="40"/>
        <w:rPr>
          <w:rFonts w:asciiTheme="majorBidi" w:hAnsiTheme="majorBidi" w:cstheme="majorBidi"/>
          <w:szCs w:val="16"/>
        </w:rPr>
      </w:pPr>
    </w:p>
    <w:p w14:paraId="121A5036" w14:textId="77777777" w:rsidR="007B7875" w:rsidRPr="00E209B5" w:rsidRDefault="00000000">
      <w:pPr>
        <w:keepNext/>
        <w:spacing w:before="80" w:after="40" w:line="240" w:lineRule="auto"/>
        <w:rPr>
          <w:rFonts w:asciiTheme="majorBidi" w:hAnsiTheme="majorBidi" w:cstheme="majorBidi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B. Supply and fleet dynamics</w:t>
      </w:r>
    </w:p>
    <w:tbl>
      <w:tblPr>
        <w:tblStyle w:val="TableGrid"/>
        <w:tblW w:w="1530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708"/>
        <w:gridCol w:w="2188"/>
        <w:gridCol w:w="7121"/>
        <w:gridCol w:w="1201"/>
        <w:gridCol w:w="4091"/>
      </w:tblGrid>
      <w:tr w:rsidR="007B7875" w:rsidRPr="00E209B5" w14:paraId="24900121" w14:textId="77777777">
        <w:trPr>
          <w:cantSplit/>
          <w:tblHeader w:val="true"/>
          <w:jc w:val="center"/>
        </w:trPr>
        <w:tc>
          <w:tcPr>
            <w:tcW w:w="72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1683E596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R ID</w:t>
            </w:r>
          </w:p>
        </w:tc>
        <w:tc>
          <w:tcPr>
            <w:tcW w:w="2232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5D0B6749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Agent / relation</w:t>
            </w:r>
          </w:p>
        </w:tc>
        <w:tc>
          <w:tcPr>
            <w:tcW w:w="7272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1986336A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Formal relation</w:t>
            </w:r>
          </w:p>
        </w:tc>
        <w:tc>
          <w:tcPr>
            <w:tcW w:w="1224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4C6F1F75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4176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Model role</w:t>
            </w:r>
          </w:p>
        </w:tc>
      </w:tr>
      <w:tr w:rsidR="007B7875" w:rsidRPr="00E209B5" w14:paraId="7BF63E3C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3880337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3F01F9C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Network length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DF97A37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L</m:t>
                </m:r>
                <m:r>
                  <m:t>e</m:t>
                </m:r>
                <m:sSub>
                  <m:e>
                    <m:r>
                      <m:t>n</m:t>
                    </m:r>
                  </m:e>
                  <m:sub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t>e</m:t>
                </m:r>
                <m:sSub>
                  <m:e>
                    <m:r>
                      <m:t>n</m:t>
                    </m:r>
                  </m:e>
                  <m:sub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Δ</m:t>
                </m:r>
                <m:r>
                  <m:t>L</m:t>
                </m:r>
                <m:r>
                  <m:t>e</m:t>
                </m:r>
                <m:sSub>
                  <m:e>
                    <m:r>
                      <m:t>n</m:t>
                    </m:r>
                  </m:e>
                  <m:sub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6D261F4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km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0049C8A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Infrastructure stock evolution for metro, BRT, road, or bicycle infrastructure.</w:t>
            </w:r>
          </w:p>
        </w:tc>
      </w:tr>
      <w:tr w:rsidR="007B7875" w:rsidRPr="00E209B5" w14:paraId="22311818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0BE776A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R2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5F7DB7A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Budget-limited network extension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0AB931D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Δ</m:t>
                </m:r>
                <m:r>
                  <m:t>L</m:t>
                </m:r>
                <m:r>
                  <m:t>e</m:t>
                </m:r>
                <m:sSub>
                  <m:e>
                    <m:r>
                      <m:t>n</m:t>
                    </m:r>
                  </m:e>
                  <m:sub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λ</m:t>
                        </m:r>
                      </m:e>
                      <m: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  <m:r>
                          <m:t>E</m:t>
                        </m:r>
                        <m:r>
                          <m:t>X</m:t>
                        </m:r>
                      </m:sup>
                    </m:sSubSup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</m:sub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  <m:r>
                          <m:t>E</m:t>
                        </m:r>
                        <m:r>
                          <m:t>X</m:t>
                        </m:r>
                      </m:sup>
                    </m:sSubSup>
                  </m:num>
                  <m:den>
                    <m:r>
                      <m:t>U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137976D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km/year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CB90CE9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Annual infrastructure addition constrained by CAPEX envelope and indexed unit cost.</w:t>
            </w:r>
          </w:p>
        </w:tc>
      </w:tr>
      <w:tr w:rsidR="007B7875" w:rsidRPr="00E209B5" w14:paraId="445BE30E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0761534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R3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D18467A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Fleet stock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754A751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F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t>r</m:t>
                </m:r>
                <m:r>
                  <m:t>o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e</m:t>
                </m:r>
                <m:sSub>
                  <m:e>
                    <m:r>
                      <m:t>t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5A37E9B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vehicles or trainsets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C3CD247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Vehicle or trainset stock by mode and region.</w:t>
            </w:r>
          </w:p>
        </w:tc>
      </w:tr>
      <w:tr w:rsidR="007B7875" w:rsidRPr="00E209B5" w14:paraId="7A382280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4227445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R4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8D328ED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Budget-limited fleet procurement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7D5C5DF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t>r</m:t>
                </m:r>
                <m:r>
                  <m:t>o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λ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  <m:r>
                          <m:t>E</m:t>
                        </m:r>
                        <m:r>
                          <m:t>X</m:t>
                        </m:r>
                      </m:sup>
                    </m:sSubSup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</m:sub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  <m:r>
                          <m:t>E</m:t>
                        </m:r>
                        <m:r>
                          <m:t>X</m:t>
                        </m:r>
                      </m:sup>
                    </m:sSubSup>
                  </m:num>
                  <m:den>
                    <m:r>
                      <m:t>U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F14B136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vehicles/year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7DF3D1B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Fleet procurement constrained by CAPEX availability and unit cost.</w:t>
            </w:r>
          </w:p>
        </w:tc>
      </w:tr>
      <w:tr w:rsidR="007B7875" w:rsidRPr="00E209B5" w14:paraId="7C44E30B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69085B4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R5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1663851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Fleet retirement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98B1A72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R</m:t>
                </m:r>
                <m:r>
                  <m:t>e</m:t>
                </m:r>
                <m:sSub>
                  <m:e>
                    <m:r>
                      <m:t>t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F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</m:sub>
                    </m:sSub>
                  </m:num>
                  <m:den>
                    <m:r>
                      <m:t>l</m:t>
                    </m:r>
                    <m:r>
                      <m:t>i</m:t>
                    </m:r>
                    <m:r>
                      <m:t>f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88268E5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vehicles/year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DFF0A8F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Mode-specific service-life retirement.</w:t>
            </w:r>
          </w:p>
        </w:tc>
      </w:tr>
      <w:tr w:rsidR="007B7875" w:rsidRPr="00E209B5" w14:paraId="7874BF45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9C707B1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R6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37F0450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Effective supply / capacity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AD56A60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t>a</m:t>
                </m:r>
                <m:sSub>
                  <m:e>
                    <m:r>
                      <m:t>p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κ</m:t>
                    </m:r>
                  </m:e>
                  <m:sub>
                    <m:r>
                      <m:t>m</m:t>
                    </m:r>
                  </m:sub>
                </m:sSub>
                <m:sSub>
                  <m:e>
                    <m:r>
                      <m:t>F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85E9B47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capacity index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077A153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Converts stock into effective annual service supply or capacity.</w:t>
            </w:r>
          </w:p>
        </w:tc>
      </w:tr>
      <w:tr w:rsidR="007B7875" w:rsidRPr="00E209B5" w14:paraId="1C265E83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1DABD44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R7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F9BB5A4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PT crowding / quality indicator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394298D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Q</m:t>
                </m:r>
                <m:sSub>
                  <m:e>
                    <m:r>
                      <m:t>L</m:t>
                    </m:r>
                  </m:e>
                  <m:sub>
                    <m:r>
                      <m:t>P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T</m:t>
                        </m:r>
                      </m:e>
                      <m:sub>
                        <m:r>
                          <m:t>P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</m:sub>
                    </m:sSub>
                  </m:num>
                  <m:den>
                    <m:r>
                      <m:t>C</m:t>
                    </m:r>
                    <m:r>
                      <m:t>a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P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60AB8F2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[-]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4661AFE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Demand-to-supply indicator entering public-transport generalized cost.</w:t>
            </w:r>
          </w:p>
        </w:tc>
      </w:tr>
    </w:tbl>
    <w:p w14:paraId="07049213" w14:textId="77777777" w:rsidR="007B7875" w:rsidRPr="00E209B5" w:rsidRDefault="007B7875">
      <w:pPr>
        <w:keepNext w:val="0"/>
        <w:spacing w:line="240" w:lineRule="auto" w:after="40"/>
        <w:rPr>
          <w:rFonts w:asciiTheme="majorBidi" w:hAnsiTheme="majorBidi" w:cstheme="majorBidi"/>
          <w:szCs w:val="16"/>
        </w:rPr>
      </w:pPr>
    </w:p>
    <w:p w14:paraId="55648525" w14:textId="77777777" w:rsidR="007B7875" w:rsidRPr="00E209B5" w:rsidRDefault="00000000">
      <w:pPr>
        <w:keepNext/>
        <w:spacing w:before="80" w:after="40" w:line="240" w:lineRule="auto"/>
        <w:rPr>
          <w:rFonts w:asciiTheme="majorBidi" w:hAnsiTheme="majorBidi" w:cstheme="majorBidi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C. Congestion and time-loss accounting</w:t>
      </w:r>
    </w:p>
    <w:tbl>
      <w:tblPr>
        <w:tblStyle w:val="TableGrid"/>
        <w:tblW w:w="1530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708"/>
        <w:gridCol w:w="2188"/>
        <w:gridCol w:w="7121"/>
        <w:gridCol w:w="1201"/>
        <w:gridCol w:w="4091"/>
      </w:tblGrid>
      <w:tr w:rsidR="007B7875" w:rsidRPr="00E209B5" w14:paraId="1494E432" w14:textId="77777777">
        <w:trPr>
          <w:cantSplit/>
          <w:tblHeader w:val="true"/>
          <w:jc w:val="center"/>
        </w:trPr>
        <w:tc>
          <w:tcPr>
            <w:tcW w:w="72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0C54B6A9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R ID</w:t>
            </w:r>
          </w:p>
        </w:tc>
        <w:tc>
          <w:tcPr>
            <w:tcW w:w="2232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28F0192F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Agent / relation</w:t>
            </w:r>
          </w:p>
        </w:tc>
        <w:tc>
          <w:tcPr>
            <w:tcW w:w="7272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1E02E4DC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Formal relation</w:t>
            </w:r>
          </w:p>
        </w:tc>
        <w:tc>
          <w:tcPr>
            <w:tcW w:w="1224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70129C05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4176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Model role</w:t>
            </w:r>
          </w:p>
        </w:tc>
      </w:tr>
      <w:tr w:rsidR="007B7875" w:rsidRPr="00E209B5" w14:paraId="043FDA59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F03160D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471B9EE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Road loading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9F6A4B2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V</m:t>
                    </m:r>
                    <m:r>
                      <m:t>K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</m:sub>
                      <m:sup>
                        <m:r>
                          <m:t>P</m:t>
                        </m:r>
                        <m:r>
                          <m:t>C</m:t>
                        </m:r>
                        <m:r>
                          <m:t>E</m:t>
                        </m:r>
                      </m:sup>
                    </m:sSubSup>
                  </m:num>
                  <m:den>
                    <m:sSubSup>
                      <m:e>
                        <m:r>
                          <m:t>K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  <m:sup>
                        <m:r>
                          <m:t>e</m:t>
                        </m:r>
                        <m:r>
                          <m:t>f</m:t>
                        </m:r>
                        <m:r>
                          <m:t>f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K</m:t>
                    </m:r>
                  </m:e>
                  <m:sub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  <m:sup>
                    <m:r>
                      <m:t>e</m:t>
                    </m:r>
                    <m:r>
                      <m:t>f</m:t>
                    </m:r>
                    <m:r>
                      <m:t>f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8760</m:t>
                </m:r>
                <m:r>
                  <m:t> </m:t>
                </m:r>
                <m:sSub>
                  <m:e>
                    <m:r>
                      <m:t>c</m:t>
                    </m:r>
                  </m:e>
                  <m:sub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b>
                </m:sSub>
                <m:r>
                  <m:t> </m:t>
                </m:r>
                <m:r>
                  <m:t>L</m:t>
                </m:r>
                <m:r>
                  <m:t>e</m:t>
                </m:r>
                <m:sSub>
                  <m:e>
                    <m:r>
                      <m:t>n</m:t>
                    </m:r>
                  </m:e>
                  <m:sub>
                    <m:r>
                      <m:t>r</m:t>
                    </m:r>
                    <m:r>
                      <m:t>o</m:t>
                    </m:r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</m:sSub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6191436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[-]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B292366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Tehran PCE road loading on an annualized capacity basis; the numerator is PCE-weighted annual road activity.</w:t>
            </w:r>
          </w:p>
        </w:tc>
      </w:tr>
      <w:tr w:rsidR="007B7875" w:rsidRPr="00E209B5" w14:paraId="661BB451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0A83717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lastRenderedPageBreak/>
              <w:t>R2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0562E04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Congestion indicator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530464A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C</m:t>
                </m:r>
                <m:sSub>
                  <m:e>
                    <m:r>
                      <m:t>I</m:t>
                    </m:r>
                  </m:e>
                  <m:sub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clip</m:t>
                </m:r>
                <m:r>
                  <m:t>​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C</m:t>
                </m:r>
                <m:sSub>
                  <m:e>
                    <m:r>
                      <m:t>I</m:t>
                    </m:r>
                  </m:e>
                  <m:sub>
                    <m:r>
                      <m:t>R</m:t>
                    </m:r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clip</m:t>
                </m:r>
                <m:r>
                  <m:t>​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R</m:t>
                        </m:r>
                        <m:r>
                          <m:t>12</m:t>
                        </m:r>
                      </m:sub>
                    </m:sSub>
                    <m:r>
                      <m:t>C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e>
                </m:d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8056205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[-]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18E2B31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Tehran congestion is driven by city road loading; operative R12 congestion is the calibrated city-linked proxy. The separately computed district v/c remains diagnostic; μ_R12 is reported in Table S9.</w:t>
            </w:r>
          </w:p>
        </w:tc>
      </w:tr>
      <w:tr w:rsidR="007B7875" w:rsidRPr="00E209B5" w14:paraId="169FEDE1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FE16622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R3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51816F9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Speed response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8360228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p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  <m:r>
                      <m:t>p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  <m:sup>
                        <m:r>
                          <m:t>r</m:t>
                        </m:r>
                        <m:r>
                          <m:t>e</m:t>
                        </m:r>
                        <m:r>
                          <m:t>f</m:t>
                        </m:r>
                      </m:sup>
                    </m:sSub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ϕ</m:t>
                        </m:r>
                      </m:e>
                      <m:sub>
                        <m:r>
                          <m:t>m</m:t>
                        </m:r>
                      </m:sub>
                      <m:sup>
                        <m:r>
                          <m:t>c</m:t>
                        </m:r>
                        <m:r>
                          <m:t>o</m:t>
                        </m:r>
                        <m:r>
                          <m:t>n</m:t>
                        </m:r>
                        <m:r>
                          <m:t>g</m:t>
                        </m:r>
                      </m:sup>
                    </m:sSubSup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s</m:t>
                        </m:r>
                        <m:r>
                          <m:t>p</m:t>
                        </m:r>
                        <m:r>
                          <m:t>e</m:t>
                        </m:r>
                        <m:r>
                          <m:t>e</m:t>
                        </m:r>
                        <m:r>
                          <m:t>d</m:t>
                        </m:r>
                      </m:sub>
                    </m:sSub>
                    <m:r>
                      <m:t>C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m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M</m:t>
                    </m:r>
                  </m:e>
                  <m:sub>
                    <m:r>
                      <m:t>r</m:t>
                    </m:r>
                    <m:r>
                      <m:t>o</m:t>
                    </m:r>
                    <m:r>
                      <m:t>a</m:t>
                    </m:r>
                    <m:r>
                      <m:t>d</m:t>
                    </m:r>
                  </m:sub>
                </m:sSub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AFD9F1C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km/h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ECDC232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Monotone road-mode speed response to the operative congestion index; mode-specific congestion scaling is retained.</w:t>
            </w:r>
          </w:p>
        </w:tc>
      </w:tr>
      <w:tr w:rsidR="007B7875" w:rsidRPr="00E209B5" w14:paraId="7CBB93CC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07591EE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R4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96C0BFD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Bounded delay share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114A90D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t>δ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clip</m:t>
                </m:r>
                <m:r>
                  <m:t>​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d</m:t>
                        </m:r>
                        <m:r>
                          <m:t>e</m:t>
                        </m:r>
                        <m:r>
                          <m:t>l</m:t>
                        </m:r>
                        <m:r>
                          <m:t>a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r</m:t>
                        </m:r>
                      </m:sub>
                    </m:sSub>
                    <m:r>
                      <m:t>C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e>
                </m:d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0A61DC7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[-]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FD15520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Bounded congestion-delay share used by the implemented time-loss accounting; calibrated delay-response parameters are reported in Table S9.</w:t>
            </w:r>
          </w:p>
        </w:tc>
      </w:tr>
      <w:tr w:rsidR="007B7875" w:rsidRPr="00E209B5" w14:paraId="7BA7553A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321FDE2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R5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A159BD9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Annual car time loss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A089803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T</m:t>
                </m:r>
                <m:sSubSup>
                  <m:e>
                    <m:r>
                      <m:t>L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c</m:t>
                    </m:r>
                    <m:r>
                      <m:t>a</m:t>
                    </m:r>
                    <m:r>
                      <m:t>r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c</m:t>
                    </m:r>
                    <m:r>
                      <m:t>a</m:t>
                    </m:r>
                    <m:r>
                      <m:t>r</m:t>
                    </m:r>
                  </m:sup>
                </m:sSubSup>
                <m:r>
                  <m:t> </m:t>
                </m:r>
                <m:sSubSup>
                  <m:e>
                    <m:acc>
                      <m:accPr>
                        <m:chr m:val="̃"/>
                      </m:accPr>
                      <m:e>
                        <m:r>
                          <m:t>T</m:t>
                        </m:r>
                        <m:r>
                          <m:t>T</m:t>
                        </m:r>
                      </m:e>
                    </m:acc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c</m:t>
                    </m:r>
                    <m:r>
                      <m:t>a</m:t>
                    </m:r>
                    <m:r>
                      <m:t>r</m:t>
                    </m:r>
                  </m:sup>
                </m:sSubSup>
                <m:r>
                  <m:t> </m:t>
                </m:r>
                <m:sSub>
                  <m:e>
                    <m:r>
                      <m:t>δ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6BCB688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h/year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0B35A99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Car-user time loss. The time basis is modeled car travel time in Tehran and the district car-time basis used in the R12 equation.</w:t>
            </w:r>
          </w:p>
        </w:tc>
      </w:tr>
      <w:tr w:rsidR="007B7875" w:rsidRPr="00E209B5" w14:paraId="422D7F62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D7D945F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R6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5B1E118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Congestion cost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41534BB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C</m:t>
                </m:r>
                <m:sSub>
                  <m:e>
                    <m:r>
                      <m:t>C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V</m:t>
                </m:r>
                <m:r>
                  <m:t>O</m:t>
                </m:r>
                <m:sSub>
                  <m:e>
                    <m:r>
                      <m:t>T</m:t>
                    </m:r>
                  </m:e>
                  <m:sub>
                    <m:r>
                      <m:t>t</m:t>
                    </m:r>
                  </m:sub>
                </m:sSub>
                <m:r>
                  <m:t> </m:t>
                </m:r>
                <m:r>
                  <m:t>T</m:t>
                </m:r>
                <m:sSubSup>
                  <m:e>
                    <m:r>
                      <m:t>L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c</m:t>
                    </m:r>
                    <m:r>
                      <m:t>a</m:t>
                    </m:r>
                    <m:r>
                      <m:t>r</m:t>
                    </m:r>
                  </m:sup>
                </m:sSubSup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C94A9B3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IRR/year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E3F019C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Monetary valuation of implemented annual car time loss.</w:t>
            </w:r>
          </w:p>
        </w:tc>
      </w:tr>
    </w:tbl>
    <w:p w14:paraId="667CB7E7" w14:textId="77777777" w:rsidR="007B7875" w:rsidRPr="00E209B5" w:rsidRDefault="007B7875">
      <w:pPr>
        <w:keepNext w:val="0"/>
        <w:spacing w:line="240" w:lineRule="auto" w:after="40"/>
        <w:rPr>
          <w:rFonts w:asciiTheme="majorBidi" w:hAnsiTheme="majorBidi" w:cstheme="majorBidi"/>
          <w:szCs w:val="16"/>
        </w:rPr>
      </w:pPr>
    </w:p>
    <w:p w14:paraId="59A808EF" w14:textId="77777777" w:rsidR="007B7875" w:rsidRPr="00E209B5" w:rsidRDefault="00000000">
      <w:pPr>
        <w:keepNext/>
        <w:spacing w:before="80" w:after="40" w:line="240" w:lineRule="auto"/>
        <w:rPr>
          <w:rFonts w:asciiTheme="majorBidi" w:hAnsiTheme="majorBidi" w:cstheme="majorBidi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D. Energy and emissions</w:t>
      </w:r>
    </w:p>
    <w:tbl>
      <w:tblPr>
        <w:tblStyle w:val="TableGrid"/>
        <w:tblW w:w="1530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708"/>
        <w:gridCol w:w="2188"/>
        <w:gridCol w:w="7121"/>
        <w:gridCol w:w="1201"/>
        <w:gridCol w:w="4091"/>
      </w:tblGrid>
      <w:tr w:rsidR="007B7875" w:rsidRPr="00E209B5" w14:paraId="693F8B0F" w14:textId="77777777">
        <w:trPr>
          <w:cantSplit/>
          <w:tblHeader w:val="true"/>
          <w:jc w:val="center"/>
        </w:trPr>
        <w:tc>
          <w:tcPr>
            <w:tcW w:w="72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1E6BA7DF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R ID</w:t>
            </w:r>
          </w:p>
        </w:tc>
        <w:tc>
          <w:tcPr>
            <w:tcW w:w="2232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2313D0D5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Agent / relation</w:t>
            </w:r>
          </w:p>
        </w:tc>
        <w:tc>
          <w:tcPr>
            <w:tcW w:w="7272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4A3F4568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Formal relation</w:t>
            </w:r>
          </w:p>
        </w:tc>
        <w:tc>
          <w:tcPr>
            <w:tcW w:w="1224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7856924D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4176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Model role</w:t>
            </w:r>
          </w:p>
        </w:tc>
      </w:tr>
      <w:tr w:rsidR="007B7875" w:rsidRPr="00E209B5" w14:paraId="7D0C2903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5C6A64D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0E6A85E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Vehicle activity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BD61A87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V</m:t>
                </m:r>
                <m:r>
                  <m:t>K</m:t>
                </m:r>
                <m:sSub>
                  <m:e>
                    <m:r>
                      <m:t>T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T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m</m:t>
                            </m:r>
                          </m:e>
                        </m:d>
                      </m:sub>
                      <m:sup>
                        <m:r>
                          <m:t>t</m:t>
                        </m:r>
                        <m:r>
                          <m:t>r</m:t>
                        </m:r>
                        <m:r>
                          <m:t>i</m:t>
                        </m:r>
                        <m:r>
                          <m:t>p</m:t>
                        </m:r>
                      </m:sup>
                    </m:sSubSup>
                  </m:num>
                  <m:den>
                    <m:r>
                      <m:t>o</m:t>
                    </m:r>
                    <m:r>
                      <m:t>c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V</m:t>
                </m:r>
                <m:r>
                  <m:t>K</m:t>
                </m:r>
                <m:sSubSup>
                  <m:e>
                    <m:r>
                      <m:t>T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P</m:t>
                    </m:r>
                    <m:r>
                      <m:t>C</m:t>
                    </m:r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M</m:t>
                        </m:r>
                      </m:e>
                      <m:sub>
                        <m:r>
                          <m:t>r</m:t>
                        </m:r>
                        <m:r>
                          <m:t>o</m:t>
                        </m:r>
                        <m:r>
                          <m:t>a</m:t>
                        </m:r>
                        <m:r>
                          <m:t>d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t>P</m:t>
                    </m:r>
                  </m:e>
                </m:nary>
                <m:r>
                  <m:t>C</m:t>
                </m:r>
                <m:sSub>
                  <m:e>
                    <m:r>
                      <m:t>E</m:t>
                    </m:r>
                  </m:e>
                  <m:sub>
                    <m:r>
                      <m:t>m</m:t>
                    </m:r>
                  </m:sub>
                </m:sSub>
                <m:r>
                  <m:t> </m:t>
                </m:r>
                <m:r>
                  <m:t>V</m:t>
                </m:r>
                <m:r>
                  <m:t>K</m:t>
                </m:r>
                <m:sSub>
                  <m:e>
                    <m:r>
                      <m:t>T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FC49AF7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veh-km/year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479BB1C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Converts person-trips into vehicle activity and PCE-weighted network-load activity.</w:t>
            </w:r>
          </w:p>
        </w:tc>
      </w:tr>
      <w:tr w:rsidR="007B7875" w:rsidRPr="00E209B5" w14:paraId="6D4C0BA4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68E646E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R2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FAFB20B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Carrier shares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24E20EC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c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C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t>s</m:t>
                    </m:r>
                  </m:e>
                </m:nary>
                <m:sSub>
                  <m:e>
                    <m:r>
                      <m:t>h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A51B7CF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[-]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C052AE8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Splits modal activity across carrier or technology pathways, including scenario-specific fleet-transition shares.</w:t>
            </w:r>
          </w:p>
        </w:tc>
      </w:tr>
      <w:tr w:rsidR="007B7875" w:rsidRPr="00E209B5" w14:paraId="456CA116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9678FF0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R3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5099952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Energy intensity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C4B9BEE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EI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fc,</m:t>
                              </m:r>
                              <m: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,</m:t>
                              </m:r>
                              <m: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c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ICE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LHV,</m:t>
                              </m:r>
                              <m: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theme="majorBidi"/>
                              <w:szCs w:val="16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Times New Roman" w:hAnsi="Times New Roman" w:cstheme="majorBidi"/>
                              <w:szCs w:val="16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theme="majorBidi"/>
                              <w:szCs w:val="16"/>
                            </w:rPr>
                            <m:t>∈</m:t>
                          </m:r>
                          <m:sSubSup>
                            <m:sSubSupPr>
                              <m:ctrlP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m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ICE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theme="majorBidi"/>
                              <w:szCs w:val="16"/>
                            </w:rPr>
                            <m:t>,</m:t>
                          </m: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,</m:t>
                              </m:r>
                              <m: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m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el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Cs w:val="16"/>
                                </w:rPr>
                                <m:t>LHV,el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theme="majorBidi"/>
                              <w:szCs w:val="16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Times New Roman" w:hAnsi="Times New Roman" w:cstheme="majorBidi"/>
                              <w:szCs w:val="16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theme="majorBidi"/>
                              <w:szCs w:val="16"/>
                            </w:rPr>
                            <m:t>=el,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BA9DBB2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MJ/veh-km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E5DF42A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Carrier-compatible energy-intensity block for ICE, CNG, and electric pathways.</w:t>
            </w:r>
          </w:p>
        </w:tc>
      </w:tr>
      <w:tr w:rsidR="007B7875" w:rsidRPr="00E209B5" w14:paraId="02D7796A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36C9AD0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R4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87C04E4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Final energy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8D464E3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F</m:t>
                </m:r>
                <m:sSub>
                  <m:e>
                    <m:r>
                      <m:t>E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M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rPr>
                                <m:sty m:val="p"/>
                                <m:scr m:val="script"/>
                              </m:rPr>
                              <m:t>C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V</m:t>
                        </m:r>
                      </m:e>
                    </m:nary>
                  </m:e>
                </m:nary>
                <m:r>
                  <m:t>K</m:t>
                </m:r>
                <m:sSub>
                  <m:e>
                    <m:r>
                      <m:t>T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t> </m:t>
                </m:r>
                <m:r>
                  <m:t>s</m:t>
                </m:r>
                <m:sSub>
                  <m:e>
                    <m:r>
                      <m:t>h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t> </m:t>
                </m:r>
                <m:r>
                  <m:t>E</m:t>
                </m:r>
                <m:sSub>
                  <m:e>
                    <m:r>
                      <m:t>I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</m:sSub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72F2BEF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MJ/year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7B556FF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Endogenous final energy from modal activity, carrier/technology shares, and compatible intensity.</w:t>
            </w:r>
          </w:p>
        </w:tc>
      </w:tr>
      <w:tr w:rsidR="007B7875" w:rsidRPr="00E209B5" w14:paraId="51F518E9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F5985E4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R5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8724004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Emission factors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20EAF2B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EF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EF</m:t>
                    </m:r>
                  </m:sup>
                </m:sSubSup>
                <m:r>
                  <w:rPr>
                    <w:rFonts w:ascii="Times New Roman" w:hAnsi="Times New Roman" w:cstheme="majorBidi"/>
                    <w:szCs w:val="16"/>
                  </w:rPr>
                  <m:t>​</m:t>
                </m:r>
                <m:d>
                  <m:d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EF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862FD07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carrier-compatible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891F1C6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Scenario-compatible emission-factor path. A declared policy overlay changes the factor only when the scenario schedule specifies it; otherwise the reference factor is retained.</w:t>
            </w:r>
          </w:p>
        </w:tc>
      </w:tr>
      <w:tr w:rsidR="007B7875" w:rsidRPr="00E209B5" w14:paraId="75007A25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2C996A2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R6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AA4A595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Emissions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9713214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E</m:t>
                </m:r>
                <m:sSub>
                  <m:e>
                    <m:r>
                      <m:t>M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M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rPr>
                                <m:sty m:val="p"/>
                                <m:scr m:val="script"/>
                              </m:rPr>
                              <m:t>C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A</m:t>
                        </m:r>
                      </m:e>
                    </m:nary>
                  </m:e>
                </m:nary>
                <m:r>
                  <m:t>C</m:t>
                </m:r>
                <m:sSubSup>
                  <m:e>
                    <m:r>
                      <m:t>T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p</m:t>
                        </m:r>
                      </m:e>
                    </m:d>
                  </m:sup>
                </m:sSubSup>
                <m:r>
                  <m:t> </m:t>
                </m:r>
                <m:r>
                  <m:t>E</m:t>
                </m:r>
                <m:sSub>
                  <m:e>
                    <m:r>
                      <m:t>F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69AE0C9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tonne/year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EAE6FB7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Uses the pollutant- and carrier-compatible activity base; carrier/technology shares are incorporated upstream in ACT, with fuel or electricity conversion where required.</w:t>
            </w:r>
          </w:p>
        </w:tc>
      </w:tr>
    </w:tbl>
    <w:p w14:paraId="2E5AE643" w14:textId="77777777" w:rsidR="007B7875" w:rsidRPr="00E209B5" w:rsidRDefault="007B7875">
      <w:pPr>
        <w:keepNext w:val="0"/>
        <w:spacing w:line="240" w:lineRule="auto" w:after="40"/>
        <w:rPr>
          <w:rFonts w:asciiTheme="majorBidi" w:hAnsiTheme="majorBidi" w:cstheme="majorBidi"/>
          <w:szCs w:val="16"/>
        </w:rPr>
      </w:pPr>
    </w:p>
    <w:p w14:paraId="704065E3" w14:textId="77777777" w:rsidR="007B7875" w:rsidRPr="00E209B5" w:rsidRDefault="00000000">
      <w:pPr>
        <w:keepNext/>
        <w:spacing w:before="80" w:after="40" w:line="240" w:lineRule="auto"/>
        <w:rPr>
          <w:rFonts w:asciiTheme="majorBidi" w:hAnsiTheme="majorBidi" w:cstheme="majorBidi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E. Exposure and health impacts</w:t>
      </w:r>
    </w:p>
    <w:tbl>
      <w:tblPr>
        <w:tblStyle w:val="TableGrid"/>
        <w:tblW w:w="1530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708"/>
        <w:gridCol w:w="2188"/>
        <w:gridCol w:w="7121"/>
        <w:gridCol w:w="1201"/>
        <w:gridCol w:w="4091"/>
      </w:tblGrid>
      <w:tr w:rsidR="007B7875" w:rsidRPr="00E209B5" w14:paraId="1E52DE64" w14:textId="77777777">
        <w:trPr>
          <w:cantSplit/>
          <w:tblHeader w:val="true"/>
          <w:jc w:val="center"/>
        </w:trPr>
        <w:tc>
          <w:tcPr>
            <w:tcW w:w="72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7191B597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R ID</w:t>
            </w:r>
          </w:p>
        </w:tc>
        <w:tc>
          <w:tcPr>
            <w:tcW w:w="2232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7DF05312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Agent / relation</w:t>
            </w:r>
          </w:p>
        </w:tc>
        <w:tc>
          <w:tcPr>
            <w:tcW w:w="7272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07AFC511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Formal relation</w:t>
            </w:r>
          </w:p>
        </w:tc>
        <w:tc>
          <w:tcPr>
            <w:tcW w:w="1224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7D27C376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4176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Model role</w:t>
            </w:r>
          </w:p>
        </w:tc>
      </w:tr>
      <w:tr w:rsidR="007B7875" w:rsidRPr="00E209B5" w14:paraId="047B4CA9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C2A62FD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1247ABF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Exposure / concentration indicator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F85CE85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Conc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,C,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Conc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bg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+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γ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conc</m:t>
                    </m:r>
                  </m:sup>
                </m:sSubSup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EM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χ</m:t>
                    </m:r>
                    <m:d>
                      <m:d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h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,C,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 h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B50BC0E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index or µg m⁻³ equivalent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34B229A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Reduced-form city emissions-to-exposure mapping. χ(h) maps the exposure species to its source emissions inventory species; mitigation is incorporated in the effective concentration coefficient.</w:t>
            </w:r>
          </w:p>
        </w:tc>
      </w:tr>
      <w:tr w:rsidR="007B7875" w:rsidRPr="00E209B5" w14:paraId="7DE224E9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938934A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R2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A773195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Baseline mortality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9B607B5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Mort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0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Pop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</m:sSub>
                <m:r>
                  <w:rPr>
                    <w:rFonts w:ascii="Times New Roman" w:hAnsi="Times New Roman" w:cstheme="majorBidi"/>
                    <w:szCs w:val="16"/>
                  </w:rPr>
                  <m:t> 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mort,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75277C8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deaths/year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1CA0301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Baseline city deaths from mortality rate and exposed population.</w:t>
            </w:r>
          </w:p>
        </w:tc>
      </w:tr>
      <w:tr w:rsidR="007B7875" w:rsidRPr="00E209B5" w14:paraId="2A3BBFF6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7AEFFE5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R3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F9BDAC5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Relative risk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9248497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RR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,C,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=exp</m:t>
                </m:r>
                <m:r>
                  <w:rPr>
                    <w:rFonts w:ascii="Times New Roman" w:hAnsi="Times New Roman" w:cstheme="majorBidi"/>
                    <w:szCs w:val="16"/>
                  </w:rPr>
                  <m:t>​</m:t>
                </m:r>
                <m:d>
                  <m:dPr>
                    <m:begChr m:val="["/>
                    <m:endChr m:val="]"/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max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​</m:t>
                    </m:r>
                    <m:d>
                      <m:d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Conc</m:t>
                            </m:r>
                          </m:e>
                          <m:sub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h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,C,</m:t>
                            </m:r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s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Conc</m:t>
                            </m:r>
                          </m:e>
                          <m:sub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h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thr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0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 h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8FF8A91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[-]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E73C43A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Monotone concentration-response mapping for the city health-accounting species.</w:t>
            </w:r>
          </w:p>
        </w:tc>
      </w:tr>
      <w:tr w:rsidR="007B7875" w:rsidRPr="00E209B5" w14:paraId="6CF57F29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1400081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R4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F604149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Attributable fraction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AB560FD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AF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,C,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f>
                  <m:f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RR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,C,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-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RR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,C,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s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 h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B56B117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[-]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7D47767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Bounded attributable fraction under admissibility checks.</w:t>
            </w:r>
          </w:p>
        </w:tc>
      </w:tr>
      <w:tr w:rsidR="007B7875" w:rsidRPr="00E209B5" w14:paraId="754B4263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11C3272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R5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1C7FE47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Attributable mortality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072D2D9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Mort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,C,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att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Mort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0</m:t>
                    </m:r>
                  </m:sup>
                </m:sSubSup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AF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,C,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 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Mort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att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naryPr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∈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P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h</m:t>
                        </m:r>
                      </m:sub>
                    </m:sSub>
                  </m:sub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​</m:t>
                    </m:r>
                  </m:sup>
                  <m:e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Mort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,C,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s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att</m:t>
                        </m:r>
                      </m:sup>
                    </m:sSubSup>
                  </m:e>
                </m:nary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00F7545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deaths/year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C12B8DF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Computes pollutant-specific attributable mortality from the common baseline mortality pool and sums PM₂.₅- and NO₂-related mortality.</w:t>
            </w:r>
          </w:p>
        </w:tc>
      </w:tr>
      <w:tr w:rsidR="007B7875" w:rsidRPr="00E209B5" w14:paraId="1FA5B238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33EC813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lastRenderedPageBreak/>
              <w:t>R6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A8E6155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Respiratory admissions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338F151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Adm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resp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Pop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</m:sSub>
                <m:r>
                  <w:rPr>
                    <w:rFonts w:ascii="Times New Roman" w:hAnsi="Times New Roman" w:cstheme="majorBidi"/>
                    <w:szCs w:val="16"/>
                  </w:rPr>
                  <m:t> 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adm</m:t>
                    </m:r>
                  </m:sub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0</m:t>
                    </m:r>
                  </m:sup>
                </m:sSubSup>
                <m:d>
                  <m:dPr>
                    <m:begChr m:val="{"/>
                    <m:endChr m:val="}"/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exp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​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β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Times New Roman" w:hAnsi="Times New Roman" w:cstheme="majorBidi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theme="majorBidi"/>
                                    <w:szCs w:val="16"/>
                                  </w:rPr>
                                  <m:t>PM</m:t>
                                </m:r>
                              </m:e>
                              <m:sub>
                                <m:r>
                                  <w:rPr>
                                    <w:rFonts w:ascii="Times New Roman" w:hAnsi="Times New Roman" w:cstheme="majorBidi"/>
                                    <w:szCs w:val="16"/>
                                  </w:rPr>
                                  <m:t>2.5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,resp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max</m:t>
                        </m:r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​</m:t>
                        </m:r>
                        <m:d>
                          <m:d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Times New Roman" w:hAnsi="Times New Roman" w:cstheme="majorBidi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theme="majorBidi"/>
                                    <w:szCs w:val="16"/>
                                  </w:rPr>
                                  <m:t>Conc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Times New Roman" w:hAnsi="Times New Roman" w:cstheme="majorBidi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Times New Roman" w:hAnsi="Times New Roman" w:cstheme="majorBidi"/>
                                        <w:szCs w:val="16"/>
                                      </w:rPr>
                                      <m:t>PM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Times New Roman" w:hAnsi="Times New Roman" w:cstheme="majorBidi"/>
                                        <w:szCs w:val="16"/>
                                      </w:rPr>
                                      <m:t>2.5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theme="majorBidi"/>
                                    <w:szCs w:val="16"/>
                                  </w:rPr>
                                  <m:t>,C,</m:t>
                                </m:r>
                                <m:r>
                                  <w:rPr>
                                    <w:rFonts w:ascii="Times New Roman" w:hAnsi="Times New Roman" w:cstheme="majorBidi"/>
                                    <w:szCs w:val="16"/>
                                  </w:rPr>
                                  <m:t>t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theme="majorBidi"/>
                                    <w:szCs w:val="16"/>
                                  </w:rPr>
                                  <m:t>,</m:t>
                                </m:r>
                                <m:r>
                                  <w:rPr>
                                    <w:rFonts w:ascii="Times New Roman" w:hAnsi="Times New Roman" w:cstheme="majorBidi"/>
                                    <w:szCs w:val="16"/>
                                  </w:rPr>
                                  <m:t>s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Times New Roman" w:hAnsi="Times New Roman" w:cstheme="majorBidi"/>
                                    <w:szCs w:val="16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theme="majorBidi"/>
                                    <w:szCs w:val="16"/>
                                  </w:rPr>
                                  <m:t>Conc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Times New Roman" w:hAnsi="Times New Roman" w:cstheme="majorBidi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Times New Roman" w:hAnsi="Times New Roman" w:cstheme="majorBidi"/>
                                        <w:szCs w:val="16"/>
                                      </w:rPr>
                                      <m:t>PM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Times New Roman" w:hAnsi="Times New Roman" w:cstheme="majorBidi"/>
                                        <w:szCs w:val="16"/>
                                      </w:rPr>
                                      <m:t>2.5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Times New Roman" w:hAnsi="Times New Roman" w:cstheme="majorBidi"/>
                                    <w:szCs w:val="16"/>
                                  </w:rPr>
                                  <m:t>thr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-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A8E7894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admissions/year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6B4C2E5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PM₂.₅-attributable respiratory admissions using the baseline admission rate and concentration-response coefficient.</w:t>
            </w:r>
          </w:p>
        </w:tc>
      </w:tr>
      <w:tr w:rsidR="007B7875" w:rsidRPr="00E209B5" w14:paraId="1482C137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2B2DED1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R7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31AD4EA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Health external cost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766D872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H</m:t>
                </m:r>
                <m:sSub>
                  <m:e>
                    <m:r>
                      <m:t>C</m:t>
                    </m:r>
                  </m:e>
                  <m:sub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V</m:t>
                </m:r>
                <m:r>
                  <m:t>S</m:t>
                </m:r>
                <m:sSub>
                  <m:e>
                    <m:r>
                      <m:t>L</m:t>
                    </m:r>
                  </m:e>
                  <m:sub>
                    <m:r>
                      <m:t>t</m:t>
                    </m:r>
                  </m:sub>
                </m:sSub>
                <m:r>
                  <m:t> </m:t>
                </m:r>
                <m:r>
                  <m:t>M</m:t>
                </m:r>
                <m:r>
                  <m:t>o</m:t>
                </m:r>
                <m:r>
                  <m:t>r</m:t>
                </m:r>
                <m:sSubSup>
                  <m:e>
                    <m:r>
                      <m:t>t</m:t>
                    </m:r>
                  </m:e>
                  <m:sub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a</m:t>
                    </m:r>
                    <m:r>
                      <m:t>t</m:t>
                    </m:r>
                    <m:r>
                      <m:t>t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ℓ</m:t>
                </m:r>
                <m:r>
                  <m:t> </m:t>
                </m:r>
                <m:sSubSup>
                  <m:e>
                    <m:r>
                      <m:t>c</m:t>
                    </m:r>
                  </m:e>
                  <m:sub>
                    <m:r>
                      <m:t>t</m:t>
                    </m:r>
                  </m:sub>
                  <m:sup>
                    <m:r>
                      <m:t>h</m:t>
                    </m:r>
                    <m:r>
                      <m:t>o</m:t>
                    </m:r>
                    <m:r>
                      <m:t>s</m:t>
                    </m:r>
                    <m:r>
                      <m:t>p</m:t>
                    </m:r>
                  </m:sup>
                </m:sSubSup>
                <m:r>
                  <m:t> </m:t>
                </m:r>
                <m:r>
                  <m:t>A</m:t>
                </m:r>
                <m:r>
                  <m:t>d</m:t>
                </m:r>
                <m:sSubSup>
                  <m:e>
                    <m:r>
                      <m:t>m</m:t>
                    </m:r>
                  </m:e>
                  <m:sub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r</m:t>
                    </m:r>
                    <m:r>
                      <m:t>e</m:t>
                    </m:r>
                    <m:r>
                      <m:t>s</m:t>
                    </m:r>
                    <m:r>
                      <m:t>p</m:t>
                    </m:r>
                  </m:sup>
                </m:sSubSup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F8A532D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IRR/year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8A59CF2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Tehran monetizes attributable mortality and respiratory morbidity. The R12 health KPI is a decision-facing comparative proxy (Table S7), not a separate epidemiological model.</w:t>
            </w:r>
          </w:p>
        </w:tc>
      </w:tr>
    </w:tbl>
    <w:p w14:paraId="773B1186" w14:textId="77777777" w:rsidR="007B7875" w:rsidRPr="00E209B5" w:rsidRDefault="007B7875">
      <w:pPr>
        <w:keepNext w:val="0"/>
        <w:spacing w:line="240" w:lineRule="auto" w:after="40"/>
        <w:rPr>
          <w:rFonts w:asciiTheme="majorBidi" w:hAnsiTheme="majorBidi" w:cstheme="majorBidi"/>
          <w:szCs w:val="16"/>
        </w:rPr>
      </w:pPr>
    </w:p>
    <w:p w14:paraId="301C4AE0" w14:textId="77777777" w:rsidR="007B7875" w:rsidRPr="00E209B5" w:rsidRDefault="00000000">
      <w:pPr>
        <w:keepNext/>
        <w:spacing w:before="80" w:after="40" w:line="240" w:lineRule="auto"/>
        <w:rPr>
          <w:rFonts w:asciiTheme="majorBidi" w:hAnsiTheme="majorBidi" w:cstheme="majorBidi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F. Policy and finance closure</w:t>
      </w:r>
    </w:p>
    <w:tbl>
      <w:tblPr>
        <w:tblStyle w:val="TableGrid"/>
        <w:tblW w:w="1530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708"/>
        <w:gridCol w:w="2188"/>
        <w:gridCol w:w="7121"/>
        <w:gridCol w:w="1201"/>
        <w:gridCol w:w="4091"/>
      </w:tblGrid>
      <w:tr w:rsidR="007B7875" w:rsidRPr="00E209B5" w14:paraId="20A76CC2" w14:textId="77777777">
        <w:trPr>
          <w:cantSplit/>
          <w:tblHeader w:val="true"/>
          <w:jc w:val="center"/>
        </w:trPr>
        <w:tc>
          <w:tcPr>
            <w:tcW w:w="72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48713D54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R ID</w:t>
            </w:r>
          </w:p>
        </w:tc>
        <w:tc>
          <w:tcPr>
            <w:tcW w:w="2232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3B4AA412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Agent / relation</w:t>
            </w:r>
          </w:p>
        </w:tc>
        <w:tc>
          <w:tcPr>
            <w:tcW w:w="7272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3985173D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Formal relation</w:t>
            </w:r>
          </w:p>
        </w:tc>
        <w:tc>
          <w:tcPr>
            <w:tcW w:w="1224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41D94AB0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4176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Model role</w:t>
            </w:r>
          </w:p>
        </w:tc>
      </w:tr>
      <w:tr w:rsidR="007B7875" w:rsidRPr="00E209B5" w14:paraId="7E844A09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20421DF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3944839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Traffic-plan fee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AA36EDF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fee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μ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fee</m:t>
                    </m:r>
                  </m:sup>
                </m:sSubSup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fee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AE15BBF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IRR/trip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2897618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Access-pricing lever applied to regulated trips within the traffic-plan exposure layer.</w:t>
            </w:r>
          </w:p>
        </w:tc>
      </w:tr>
      <w:tr w:rsidR="007B7875" w:rsidRPr="00E209B5" w14:paraId="0911A025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4193AE0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R2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6F463BD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TFP trips and compliance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8A324A0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T</m:t>
                </m:r>
                <m:r>
                  <m:t>r</m:t>
                </m:r>
                <m:r>
                  <m:t>i</m:t>
                </m:r>
                <m:r>
                  <m:t>p</m:t>
                </m:r>
                <m:sSubSup>
                  <m:e>
                    <m:r>
                      <m:t>s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T</m:t>
                    </m:r>
                    <m:r>
                      <m:t>F</m:t>
                    </m:r>
                    <m:r>
                      <m:t>P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ρ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  <m:sup>
                    <m:r>
                      <m:t>T</m:t>
                    </m:r>
                    <m:r>
                      <m:t>F</m:t>
                    </m:r>
                    <m:r>
                      <m:t>P</m:t>
                    </m:r>
                  </m:sup>
                </m:sSubSup>
                <m:sSubSup>
                  <m:e>
                    <m:r>
                      <m:t>T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  <m:sup>
                    <m:r>
                      <m:t>e</m:t>
                    </m:r>
                    <m:r>
                      <m:t>f</m:t>
                    </m:r>
                    <m:r>
                      <m:t>f</m:t>
                    </m:r>
                  </m:sup>
                </m:sSubSup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c</m:t>
                </m:r>
                <m:r>
                  <m:t>o</m:t>
                </m:r>
                <m:r>
                  <m:t>m</m:t>
                </m:r>
                <m:sSub>
                  <m:e>
                    <m:r>
                      <m:t>p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∈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e>
                </m:d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5C0D53C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trips/year; [-]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1C120BC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Regulated trips and compliance; schedule and activation are scenario-dependent.</w:t>
            </w:r>
          </w:p>
        </w:tc>
      </w:tr>
      <w:tr w:rsidR="007B7875" w:rsidRPr="00E209B5" w14:paraId="233BA54F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43968BD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R3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973BE1A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Regulatory traffic-plan revenue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850C210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REV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reg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fee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</m:sSub>
                <m:r>
                  <w:rPr>
                    <w:rFonts w:ascii="Times New Roman" w:hAnsi="Times New Roman" w:cstheme="majorBidi"/>
                    <w:szCs w:val="16"/>
                  </w:rPr>
                  <m:t> 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Trips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TFP</m:t>
                    </m:r>
                  </m:sup>
                </m:sSubSup>
                <m:r>
                  <w:rPr>
                    <w:rFonts w:ascii="Times New Roman" w:hAnsi="Times New Roman" w:cstheme="majorBidi"/>
                    <w:szCs w:val="16"/>
                  </w:rPr>
                  <m:t> 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comp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D31B8C1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IRR/year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7898EE4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Traffic-plan pricing revenue; the collected earmarked share may enter the transport budget through R5.</w:t>
            </w:r>
          </w:p>
        </w:tc>
      </w:tr>
      <w:tr w:rsidR="007B7875" w:rsidRPr="00E209B5" w14:paraId="6EA9A8E0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241916E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R4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874F89C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Base transport budget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A7255BB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B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base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tr</m:t>
                    </m:r>
                  </m:sub>
                </m:sSub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B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mun</m:t>
                    </m:r>
                  </m:sup>
                </m:sSubSup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F4FD7B3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IRR/year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512D606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Base transport budget from municipal-budget background and transport-budget share.</w:t>
            </w:r>
          </w:p>
        </w:tc>
      </w:tr>
      <w:tr w:rsidR="007B7875" w:rsidRPr="00E209B5" w14:paraId="7A0E298F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DC08D96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R5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F04A934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Earmarked revenue and effective transport budget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0DC1784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REV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ear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p>
                  <m:s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ρ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ear</m:t>
                    </m:r>
                  </m:sup>
                </m:sSup>
                <m:sSup>
                  <m:s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κ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col</m:t>
                    </m:r>
                  </m:sup>
                </m:sSup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REV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reg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 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B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eff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B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base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+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REV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ear</m:t>
                    </m:r>
                  </m:sup>
                </m:sSubSup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67F04D0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IRR/year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1E85B94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Collected and earmarked regulatory revenue expands effective fiscal space.</w:t>
            </w:r>
          </w:p>
        </w:tc>
      </w:tr>
      <w:tr w:rsidR="007B7875" w:rsidRPr="00E209B5" w14:paraId="52C7BF9C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C5D4944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R6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1D061FC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Affordable transport CAPEX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24BE7CC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B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CAPEX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CAPEX</m:t>
                    </m:r>
                  </m:sub>
                </m:sSub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B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base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+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REV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ear</m:t>
                    </m:r>
                  </m:sup>
                </m:sSubSup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50862A4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IRR/year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DBCE5C5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Capital envelope equals the capital share of the base transport budget plus collected earmarked regulatory revenue.</w:t>
            </w:r>
          </w:p>
        </w:tc>
      </w:tr>
      <w:tr w:rsidR="007B7875" w:rsidRPr="00E209B5" w14:paraId="7A23C69D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40EA60D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R7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1052D85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Real cost indexing</w:t>
            </w:r>
          </w:p>
        </w:tc>
        <w:tc>
          <w:tcPr>
            <w:tcW w:w="727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EB01744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UC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UC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0</m:t>
                    </m:r>
                  </m:sub>
                </m:sSub>
                <m:r>
                  <w:rPr>
                    <w:rFonts w:ascii="Times New Roman" w:hAnsi="Times New Roman" w:cstheme="majorBidi"/>
                    <w:szCs w:val="16"/>
                  </w:rPr>
                  <m:t> 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a</m:t>
                        </m:r>
                      </m:sub>
                    </m:sSub>
                  </m:sup>
                </m:sSubSup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FX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sub>
                  <m:sup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a</m:t>
                        </m:r>
                      </m:sub>
                    </m:sSub>
                  </m:sup>
                </m:sSubSup>
              </m:oMath>
            </m:oMathPara>
          </w:p>
        </w:tc>
        <w:tc>
          <w:tcPr>
            <w:tcW w:w="1224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4795E46" w14:textId="77777777" w:rsidR="007B7875" w:rsidRPr="00E209B5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IRR/unit</w:t>
            </w:r>
          </w:p>
        </w:tc>
        <w:tc>
          <w:tcPr>
            <w:tcW w:w="417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F2283B6" w14:textId="77777777" w:rsidR="007B7875" w:rsidRPr="00E209B5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E209B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Combines domestic inflation and FX exposure through import-share parameter.</w:t>
            </w:r>
          </w:p>
        </w:tc>
      </w:tr>
    </w:tbl>
    <w:p w14:paraId="49876BA5" w14:textId="77777777" w:rsidR="007B7875" w:rsidRPr="00E209B5" w:rsidRDefault="007B7875">
      <w:pPr>
        <w:keepNext w:val="0"/>
        <w:spacing w:line="240" w:lineRule="auto" w:after="40"/>
        <w:rPr>
          <w:rFonts w:asciiTheme="majorBidi" w:hAnsiTheme="majorBidi" w:cstheme="majorBidi"/>
          <w:szCs w:val="16"/>
        </w:rPr>
      </w:pPr>
    </w:p>
    <w:sectPr w:rsidR="007B7875" w:rsidRPr="00E209B5">
      <w:pgSz w:w="16838" w:h="11906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685657">
    <w:abstractNumId w:val="8"/>
  </w:num>
  <w:num w:numId="2" w16cid:durableId="1555503699">
    <w:abstractNumId w:val="6"/>
  </w:num>
  <w:num w:numId="3" w16cid:durableId="1131903044">
    <w:abstractNumId w:val="5"/>
  </w:num>
  <w:num w:numId="4" w16cid:durableId="1817912795">
    <w:abstractNumId w:val="4"/>
  </w:num>
  <w:num w:numId="5" w16cid:durableId="1939633712">
    <w:abstractNumId w:val="7"/>
  </w:num>
  <w:num w:numId="6" w16cid:durableId="1325935095">
    <w:abstractNumId w:val="3"/>
  </w:num>
  <w:num w:numId="7" w16cid:durableId="2035111773">
    <w:abstractNumId w:val="2"/>
  </w:num>
  <w:num w:numId="8" w16cid:durableId="1549419540">
    <w:abstractNumId w:val="1"/>
  </w:num>
  <w:num w:numId="9" w16cid:durableId="60550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7875"/>
    <w:rsid w:val="006B12A0"/>
    <w:rsid w:val="007B7875"/>
    <w:rsid w:val="00E2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F7DE0"/>
  <w14:defaultImageDpi w14:val="300"/>
  <w15:docId w15:val="{326B432F-D83F-4EA1-8DC2-C40F113B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16"/>
        <w:szCs w:val="1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eastAsia="Times New Roman" w:cs="Times New Roman"/>
      <w:color w:val="000000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1272</Words>
  <Characters>7251</Characters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2026-01-01T00:00:00Z</dcterms:created>
  <dcterms:modified xsi:type="dcterms:W3CDTF">2026-08-17T02:04:00Z</dcterms:modified>
  <cp:category/>
</cp:coreProperties>
</file>